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9F581" w14:textId="2103D5BD" w:rsidR="00D909C2" w:rsidRDefault="00D909C2">
      <w:pPr>
        <w:pBdr>
          <w:bottom w:val="single" w:sz="12" w:space="1" w:color="auto"/>
        </w:pBdr>
      </w:pPr>
      <w:bookmarkStart w:id="0" w:name="_GoBack"/>
      <w:bookmarkEnd w:id="0"/>
    </w:p>
    <w:p w14:paraId="07F77E94" w14:textId="77777777" w:rsidR="002274F4" w:rsidRDefault="002274F4"/>
    <w:p w14:paraId="2B2B79CB" w14:textId="2BB5BD3E" w:rsidR="002274F4" w:rsidRPr="002274F4" w:rsidRDefault="002274F4" w:rsidP="002274F4">
      <w:pPr>
        <w:jc w:val="center"/>
        <w:rPr>
          <w:b/>
          <w:sz w:val="28"/>
        </w:rPr>
      </w:pPr>
      <w:r w:rsidRPr="002274F4">
        <w:rPr>
          <w:b/>
          <w:sz w:val="28"/>
        </w:rPr>
        <w:t xml:space="preserve">Proposal for a Unified Associates </w:t>
      </w:r>
      <w:r w:rsidR="009446DA">
        <w:rPr>
          <w:b/>
          <w:sz w:val="28"/>
        </w:rPr>
        <w:t xml:space="preserve">in Liberal Studies </w:t>
      </w:r>
      <w:r w:rsidRPr="002274F4">
        <w:rPr>
          <w:b/>
          <w:sz w:val="28"/>
        </w:rPr>
        <w:t>Degree at Indiana University</w:t>
      </w:r>
    </w:p>
    <w:p w14:paraId="3DEC3B2F" w14:textId="3D19F60F" w:rsidR="002274F4" w:rsidRPr="002274F4" w:rsidRDefault="009446DA" w:rsidP="00760E56">
      <w:pPr>
        <w:jc w:val="center"/>
        <w:rPr>
          <w:sz w:val="20"/>
        </w:rPr>
      </w:pPr>
      <w:r>
        <w:rPr>
          <w:sz w:val="20"/>
        </w:rPr>
        <w:t>August 12</w:t>
      </w:r>
      <w:r w:rsidR="002274F4" w:rsidRPr="002274F4">
        <w:rPr>
          <w:sz w:val="20"/>
        </w:rPr>
        <w:t>, 2019</w:t>
      </w:r>
    </w:p>
    <w:p w14:paraId="71AC99C5" w14:textId="77777777" w:rsidR="002274F4" w:rsidRDefault="002274F4"/>
    <w:p w14:paraId="1C89381D" w14:textId="7812A220" w:rsidR="002274F4" w:rsidRPr="002274F4" w:rsidRDefault="002274F4">
      <w:pPr>
        <w:rPr>
          <w:b/>
        </w:rPr>
      </w:pPr>
      <w:r w:rsidRPr="002274F4">
        <w:rPr>
          <w:b/>
        </w:rPr>
        <w:t>Background</w:t>
      </w:r>
    </w:p>
    <w:p w14:paraId="26F70A2F" w14:textId="77777777" w:rsidR="001A1124" w:rsidRDefault="001A1124">
      <w:pPr>
        <w:rPr>
          <w:sz w:val="22"/>
          <w:szCs w:val="22"/>
        </w:rPr>
      </w:pPr>
    </w:p>
    <w:p w14:paraId="573A711F" w14:textId="1F1396B5" w:rsidR="002274F4" w:rsidRDefault="002274F4" w:rsidP="00DC4A4A">
      <w:r w:rsidRPr="00793029">
        <w:rPr>
          <w:sz w:val="22"/>
          <w:szCs w:val="22"/>
        </w:rPr>
        <w:t>Indiana University</w:t>
      </w:r>
      <w:r w:rsidR="00041FBF">
        <w:rPr>
          <w:sz w:val="22"/>
          <w:szCs w:val="22"/>
        </w:rPr>
        <w:t xml:space="preserve">, </w:t>
      </w:r>
      <w:r w:rsidR="001A1124">
        <w:rPr>
          <w:sz w:val="22"/>
          <w:szCs w:val="22"/>
        </w:rPr>
        <w:t xml:space="preserve">charged </w:t>
      </w:r>
      <w:r w:rsidR="00041FBF">
        <w:rPr>
          <w:sz w:val="22"/>
          <w:szCs w:val="22"/>
        </w:rPr>
        <w:t xml:space="preserve">with </w:t>
      </w:r>
      <w:r w:rsidR="001A1124">
        <w:rPr>
          <w:sz w:val="22"/>
          <w:szCs w:val="22"/>
        </w:rPr>
        <w:t>support</w:t>
      </w:r>
      <w:r w:rsidR="00041FBF">
        <w:rPr>
          <w:sz w:val="22"/>
          <w:szCs w:val="22"/>
        </w:rPr>
        <w:t>ing</w:t>
      </w:r>
      <w:r w:rsidR="001A1124">
        <w:rPr>
          <w:sz w:val="22"/>
          <w:szCs w:val="22"/>
        </w:rPr>
        <w:t xml:space="preserve"> collegiate re-entry </w:t>
      </w:r>
      <w:r w:rsidR="00041FBF">
        <w:rPr>
          <w:sz w:val="22"/>
          <w:szCs w:val="22"/>
        </w:rPr>
        <w:t>and growing a credentialed workforce, has developed the Associate degree in Liberal Studies for students who stop-out or drop-out from their intended baccalaureate degree.</w:t>
      </w:r>
      <w:r w:rsidR="00DC4A4A">
        <w:rPr>
          <w:sz w:val="22"/>
          <w:szCs w:val="22"/>
        </w:rPr>
        <w:t xml:space="preserve"> </w:t>
      </w:r>
      <w:r w:rsidR="00DC4A4A">
        <w:t xml:space="preserve">Flexibility across all campuses is achieved through minimal stipulations, reflecting only the Statewide Transfer General Education Core (STGEC), and a minimum of 60 credits, of which at least 15 are designated at or above the 200 level.  </w:t>
      </w:r>
    </w:p>
    <w:p w14:paraId="1F139C0A" w14:textId="77777777" w:rsidR="003F613B" w:rsidRDefault="003F613B"/>
    <w:p w14:paraId="7E5A38E5" w14:textId="23817D71" w:rsidR="005D6479" w:rsidRPr="005D6479" w:rsidRDefault="005D6479">
      <w:pPr>
        <w:rPr>
          <w:b/>
        </w:rPr>
      </w:pPr>
      <w:r w:rsidRPr="005D6479">
        <w:rPr>
          <w:b/>
        </w:rPr>
        <w:t>Recruitment</w:t>
      </w:r>
      <w:r w:rsidR="009446DA">
        <w:rPr>
          <w:b/>
        </w:rPr>
        <w:t xml:space="preserve"> Restriction</w:t>
      </w:r>
    </w:p>
    <w:p w14:paraId="6645AE30" w14:textId="77777777" w:rsidR="005D6479" w:rsidRDefault="005D6479"/>
    <w:p w14:paraId="5C986B21" w14:textId="24E62211" w:rsidR="002274F4" w:rsidRDefault="00A42C49" w:rsidP="005769E6">
      <w:pPr>
        <w:rPr>
          <w:sz w:val="22"/>
          <w:szCs w:val="22"/>
        </w:rPr>
      </w:pPr>
      <w:r>
        <w:rPr>
          <w:sz w:val="22"/>
          <w:szCs w:val="22"/>
        </w:rPr>
        <w:t>As</w:t>
      </w:r>
      <w:r w:rsidR="005769E6" w:rsidRPr="00793029">
        <w:rPr>
          <w:sz w:val="22"/>
          <w:szCs w:val="22"/>
        </w:rPr>
        <w:t xml:space="preserve"> a stop-out credential, </w:t>
      </w:r>
      <w:r>
        <w:rPr>
          <w:sz w:val="22"/>
          <w:szCs w:val="22"/>
        </w:rPr>
        <w:t>this degree cannot be advertised or marketed</w:t>
      </w:r>
      <w:r w:rsidR="00176105">
        <w:rPr>
          <w:sz w:val="22"/>
          <w:szCs w:val="22"/>
        </w:rPr>
        <w:t xml:space="preserve">. </w:t>
      </w:r>
      <w:r w:rsidR="006746D5">
        <w:rPr>
          <w:sz w:val="22"/>
          <w:szCs w:val="22"/>
        </w:rPr>
        <w:t>P</w:t>
      </w:r>
      <w:r w:rsidR="00176105">
        <w:rPr>
          <w:sz w:val="22"/>
          <w:szCs w:val="22"/>
        </w:rPr>
        <w:t xml:space="preserve">roactive </w:t>
      </w:r>
      <w:r w:rsidR="005769E6" w:rsidRPr="00793029">
        <w:rPr>
          <w:sz w:val="22"/>
          <w:szCs w:val="22"/>
        </w:rPr>
        <w:t xml:space="preserve">advising </w:t>
      </w:r>
      <w:r w:rsidR="006746D5">
        <w:rPr>
          <w:sz w:val="22"/>
          <w:szCs w:val="22"/>
        </w:rPr>
        <w:t xml:space="preserve">should be used to </w:t>
      </w:r>
      <w:r w:rsidR="009446DA">
        <w:rPr>
          <w:sz w:val="22"/>
          <w:szCs w:val="22"/>
        </w:rPr>
        <w:t>inform</w:t>
      </w:r>
      <w:r w:rsidR="006746D5">
        <w:rPr>
          <w:sz w:val="22"/>
          <w:szCs w:val="22"/>
        </w:rPr>
        <w:t xml:space="preserve"> </w:t>
      </w:r>
      <w:r w:rsidR="005D6479">
        <w:rPr>
          <w:sz w:val="22"/>
          <w:szCs w:val="22"/>
        </w:rPr>
        <w:t xml:space="preserve">currently enrolled </w:t>
      </w:r>
      <w:r w:rsidR="006746D5">
        <w:rPr>
          <w:sz w:val="22"/>
          <w:szCs w:val="22"/>
        </w:rPr>
        <w:t xml:space="preserve">students who have indicated an </w:t>
      </w:r>
      <w:r w:rsidR="005769E6" w:rsidRPr="00793029">
        <w:rPr>
          <w:sz w:val="22"/>
          <w:szCs w:val="22"/>
        </w:rPr>
        <w:t>intent to leave</w:t>
      </w:r>
      <w:r w:rsidR="006746D5">
        <w:rPr>
          <w:sz w:val="22"/>
          <w:szCs w:val="22"/>
        </w:rPr>
        <w:t xml:space="preserve">. </w:t>
      </w:r>
      <w:r w:rsidR="005D6479">
        <w:t>Students who leave prior to degree completion may be targeted, recruited, and have their credits assessed for eligi</w:t>
      </w:r>
      <w:r w:rsidR="009446DA">
        <w:t xml:space="preserve">bility to receive the Associates </w:t>
      </w:r>
      <w:r w:rsidR="005D6479">
        <w:t xml:space="preserve">in Liberal Studies. </w:t>
      </w:r>
    </w:p>
    <w:p w14:paraId="21905513" w14:textId="77777777" w:rsidR="00EF29CF" w:rsidRDefault="00EF29CF" w:rsidP="005769E6">
      <w:pPr>
        <w:rPr>
          <w:sz w:val="22"/>
          <w:szCs w:val="22"/>
        </w:rPr>
      </w:pPr>
    </w:p>
    <w:p w14:paraId="72E75BC1" w14:textId="5D4D6321" w:rsidR="00176105" w:rsidRDefault="00176105" w:rsidP="00176105">
      <w:pPr>
        <w:rPr>
          <w:b/>
          <w:sz w:val="22"/>
          <w:szCs w:val="22"/>
        </w:rPr>
      </w:pPr>
      <w:r w:rsidRPr="00793029">
        <w:rPr>
          <w:b/>
          <w:sz w:val="22"/>
          <w:szCs w:val="22"/>
        </w:rPr>
        <w:t xml:space="preserve">Degree </w:t>
      </w:r>
      <w:r w:rsidR="005D6479">
        <w:rPr>
          <w:b/>
          <w:sz w:val="22"/>
          <w:szCs w:val="22"/>
        </w:rPr>
        <w:t>Considerations</w:t>
      </w:r>
    </w:p>
    <w:p w14:paraId="30B7F03A" w14:textId="77777777" w:rsidR="00176105" w:rsidRPr="00793029" w:rsidRDefault="00176105" w:rsidP="00176105">
      <w:pPr>
        <w:rPr>
          <w:b/>
          <w:sz w:val="22"/>
          <w:szCs w:val="22"/>
        </w:rPr>
      </w:pPr>
    </w:p>
    <w:p w14:paraId="391C867B" w14:textId="0234AC35" w:rsidR="00EF29CF" w:rsidRDefault="00DC4A4A" w:rsidP="005769E6">
      <w:pPr>
        <w:rPr>
          <w:sz w:val="22"/>
          <w:szCs w:val="22"/>
        </w:rPr>
      </w:pPr>
      <w:r>
        <w:rPr>
          <w:sz w:val="22"/>
          <w:szCs w:val="22"/>
        </w:rPr>
        <w:t>The Associates in Liberal Studies is based on the following 5 considerations (Learning Outcomes, General Education, Campus Residency, Minimum GPA, and at least 15 credits at or above the 200 level.</w:t>
      </w:r>
      <w:r w:rsidR="005D6479">
        <w:rPr>
          <w:sz w:val="22"/>
          <w:szCs w:val="22"/>
        </w:rPr>
        <w:t xml:space="preserve"> </w:t>
      </w:r>
    </w:p>
    <w:p w14:paraId="668FC5B1" w14:textId="77777777" w:rsidR="005769E6" w:rsidRDefault="005769E6" w:rsidP="005769E6">
      <w:pPr>
        <w:rPr>
          <w:sz w:val="22"/>
          <w:szCs w:val="22"/>
        </w:rPr>
      </w:pPr>
    </w:p>
    <w:p w14:paraId="447FBFE1" w14:textId="5D388D4F" w:rsidR="00056401" w:rsidRPr="00056401" w:rsidRDefault="00056401" w:rsidP="00056401">
      <w:pPr>
        <w:pStyle w:val="ListParagraph"/>
        <w:numPr>
          <w:ilvl w:val="0"/>
          <w:numId w:val="18"/>
        </w:numPr>
        <w:rPr>
          <w:sz w:val="22"/>
          <w:szCs w:val="22"/>
        </w:rPr>
      </w:pPr>
      <w:r>
        <w:rPr>
          <w:sz w:val="22"/>
          <w:szCs w:val="22"/>
          <w:u w:val="single"/>
        </w:rPr>
        <w:t>Learning Outcomes</w:t>
      </w:r>
      <w:r w:rsidRPr="00056401">
        <w:rPr>
          <w:sz w:val="22"/>
          <w:szCs w:val="22"/>
        </w:rPr>
        <w:br/>
      </w:r>
      <w:r>
        <w:rPr>
          <w:sz w:val="22"/>
          <w:szCs w:val="22"/>
        </w:rPr>
        <w:t xml:space="preserve">The learning outcomes are broadly associated with the General Education curriculum. As such, students who earn an Associate </w:t>
      </w:r>
      <w:r w:rsidR="009446DA">
        <w:rPr>
          <w:sz w:val="22"/>
          <w:szCs w:val="22"/>
        </w:rPr>
        <w:t xml:space="preserve">s </w:t>
      </w:r>
      <w:r>
        <w:rPr>
          <w:sz w:val="22"/>
          <w:szCs w:val="22"/>
        </w:rPr>
        <w:t>in Liberal Studies</w:t>
      </w:r>
      <w:r w:rsidRPr="00056401">
        <w:rPr>
          <w:sz w:val="22"/>
          <w:szCs w:val="22"/>
        </w:rPr>
        <w:t xml:space="preserve"> will be able to demonstrate:</w:t>
      </w:r>
    </w:p>
    <w:p w14:paraId="73F0F194" w14:textId="77777777" w:rsidR="00056401" w:rsidRPr="00056401" w:rsidRDefault="00056401" w:rsidP="00056401">
      <w:pPr>
        <w:pStyle w:val="ListParagraph"/>
        <w:numPr>
          <w:ilvl w:val="1"/>
          <w:numId w:val="18"/>
        </w:numPr>
        <w:rPr>
          <w:sz w:val="22"/>
          <w:szCs w:val="22"/>
        </w:rPr>
      </w:pPr>
      <w:r w:rsidRPr="00056401">
        <w:rPr>
          <w:sz w:val="22"/>
          <w:szCs w:val="22"/>
        </w:rPr>
        <w:t>Knowledge in foundational areas of writing and mathematical modeling;</w:t>
      </w:r>
    </w:p>
    <w:p w14:paraId="7D70A89B" w14:textId="77777777" w:rsidR="00056401" w:rsidRPr="00056401" w:rsidRDefault="00056401" w:rsidP="00056401">
      <w:pPr>
        <w:pStyle w:val="ListParagraph"/>
        <w:numPr>
          <w:ilvl w:val="1"/>
          <w:numId w:val="18"/>
        </w:numPr>
        <w:rPr>
          <w:sz w:val="22"/>
          <w:szCs w:val="22"/>
        </w:rPr>
      </w:pPr>
      <w:r w:rsidRPr="00056401">
        <w:rPr>
          <w:sz w:val="22"/>
          <w:szCs w:val="22"/>
        </w:rPr>
        <w:t>Broad familiarity with the general areas of human knowledge in the Arts and Humanities, Natural and Mathematical Sciences, and Social and Historical Studies;</w:t>
      </w:r>
    </w:p>
    <w:p w14:paraId="66014D99" w14:textId="77777777" w:rsidR="00056401" w:rsidRPr="00056401" w:rsidRDefault="00056401" w:rsidP="00056401">
      <w:pPr>
        <w:pStyle w:val="ListParagraph"/>
        <w:numPr>
          <w:ilvl w:val="1"/>
          <w:numId w:val="18"/>
        </w:numPr>
        <w:rPr>
          <w:sz w:val="22"/>
          <w:szCs w:val="22"/>
        </w:rPr>
      </w:pPr>
      <w:r w:rsidRPr="00056401">
        <w:rPr>
          <w:sz w:val="22"/>
          <w:szCs w:val="22"/>
        </w:rPr>
        <w:t>Knowledge of the variety of international societies; and</w:t>
      </w:r>
    </w:p>
    <w:p w14:paraId="3B280B45" w14:textId="5B0ADA32" w:rsidR="00056401" w:rsidRDefault="00056401" w:rsidP="00056401">
      <w:pPr>
        <w:pStyle w:val="ListParagraph"/>
        <w:numPr>
          <w:ilvl w:val="1"/>
          <w:numId w:val="18"/>
        </w:numPr>
        <w:rPr>
          <w:sz w:val="22"/>
          <w:szCs w:val="22"/>
          <w:u w:val="single"/>
        </w:rPr>
      </w:pPr>
      <w:r w:rsidRPr="00056401">
        <w:rPr>
          <w:sz w:val="22"/>
          <w:szCs w:val="22"/>
        </w:rPr>
        <w:t>Ability to deliver an oral argument to an audience using logical reasoning and summarize an oral message.</w:t>
      </w:r>
      <w:r w:rsidRPr="00056401">
        <w:rPr>
          <w:sz w:val="22"/>
          <w:szCs w:val="22"/>
        </w:rPr>
        <w:br/>
      </w:r>
    </w:p>
    <w:p w14:paraId="3DB17976" w14:textId="44AD0300" w:rsidR="005769E6" w:rsidRPr="005769E6" w:rsidRDefault="007906CF" w:rsidP="005769E6">
      <w:pPr>
        <w:pStyle w:val="ListParagraph"/>
        <w:numPr>
          <w:ilvl w:val="0"/>
          <w:numId w:val="18"/>
        </w:numPr>
        <w:rPr>
          <w:sz w:val="22"/>
          <w:szCs w:val="22"/>
          <w:u w:val="single"/>
        </w:rPr>
      </w:pPr>
      <w:r>
        <w:rPr>
          <w:sz w:val="22"/>
          <w:szCs w:val="22"/>
          <w:u w:val="single"/>
        </w:rPr>
        <w:t>General Education</w:t>
      </w:r>
    </w:p>
    <w:p w14:paraId="349FFCC1" w14:textId="7D52B06B" w:rsidR="005769E6" w:rsidRPr="005769E6" w:rsidRDefault="005769E6" w:rsidP="005769E6">
      <w:pPr>
        <w:pStyle w:val="ListParagraph"/>
        <w:rPr>
          <w:sz w:val="22"/>
          <w:szCs w:val="22"/>
        </w:rPr>
      </w:pPr>
      <w:r w:rsidRPr="005769E6">
        <w:rPr>
          <w:sz w:val="22"/>
          <w:szCs w:val="22"/>
        </w:rPr>
        <w:t xml:space="preserve">The </w:t>
      </w:r>
      <w:r w:rsidR="007906CF">
        <w:rPr>
          <w:sz w:val="22"/>
          <w:szCs w:val="22"/>
        </w:rPr>
        <w:t xml:space="preserve">30-credit </w:t>
      </w:r>
      <w:r w:rsidRPr="005769E6">
        <w:rPr>
          <w:sz w:val="22"/>
          <w:szCs w:val="22"/>
        </w:rPr>
        <w:t xml:space="preserve">Statewide Transfer General Education Core (STGEC) is specifically defined in two parts: core competencies, and </w:t>
      </w:r>
      <w:r w:rsidR="009446DA">
        <w:rPr>
          <w:sz w:val="22"/>
          <w:szCs w:val="22"/>
        </w:rPr>
        <w:t>general e</w:t>
      </w:r>
      <w:r w:rsidR="00760E56">
        <w:rPr>
          <w:sz w:val="22"/>
          <w:szCs w:val="22"/>
        </w:rPr>
        <w:t xml:space="preserve">ducation </w:t>
      </w:r>
      <w:r w:rsidRPr="005769E6">
        <w:rPr>
          <w:sz w:val="22"/>
          <w:szCs w:val="22"/>
        </w:rPr>
        <w:t xml:space="preserve">electives. The Core competencies are built around six defined areas, requiring </w:t>
      </w:r>
      <w:r w:rsidR="00760E56">
        <w:rPr>
          <w:sz w:val="22"/>
          <w:szCs w:val="22"/>
        </w:rPr>
        <w:t xml:space="preserve">at least </w:t>
      </w:r>
      <w:r w:rsidRPr="005769E6">
        <w:rPr>
          <w:sz w:val="22"/>
          <w:szCs w:val="22"/>
        </w:rPr>
        <w:t>one course in each</w:t>
      </w:r>
      <w:r>
        <w:rPr>
          <w:sz w:val="22"/>
          <w:szCs w:val="22"/>
        </w:rPr>
        <w:t xml:space="preserve"> for a </w:t>
      </w:r>
      <w:r w:rsidR="00760E56">
        <w:rPr>
          <w:sz w:val="22"/>
          <w:szCs w:val="22"/>
        </w:rPr>
        <w:t>minimum</w:t>
      </w:r>
      <w:r>
        <w:rPr>
          <w:sz w:val="22"/>
          <w:szCs w:val="22"/>
        </w:rPr>
        <w:t xml:space="preserve"> of 18 semester credit hours</w:t>
      </w:r>
      <w:r w:rsidRPr="005769E6">
        <w:rPr>
          <w:sz w:val="22"/>
          <w:szCs w:val="22"/>
        </w:rPr>
        <w:t>:</w:t>
      </w:r>
    </w:p>
    <w:p w14:paraId="720B6865" w14:textId="77777777" w:rsidR="005769E6" w:rsidRDefault="005769E6" w:rsidP="005769E6">
      <w:pPr>
        <w:pStyle w:val="ListParagraph"/>
        <w:numPr>
          <w:ilvl w:val="1"/>
          <w:numId w:val="18"/>
        </w:numPr>
        <w:rPr>
          <w:sz w:val="22"/>
          <w:szCs w:val="22"/>
        </w:rPr>
      </w:pPr>
      <w:r>
        <w:rPr>
          <w:sz w:val="22"/>
          <w:szCs w:val="22"/>
        </w:rPr>
        <w:t>Written Communication</w:t>
      </w:r>
    </w:p>
    <w:p w14:paraId="193E4A54" w14:textId="77777777" w:rsidR="005769E6" w:rsidRDefault="005769E6" w:rsidP="005769E6">
      <w:pPr>
        <w:pStyle w:val="ListParagraph"/>
        <w:numPr>
          <w:ilvl w:val="1"/>
          <w:numId w:val="18"/>
        </w:numPr>
        <w:rPr>
          <w:sz w:val="22"/>
          <w:szCs w:val="22"/>
        </w:rPr>
      </w:pPr>
      <w:r w:rsidRPr="005769E6">
        <w:rPr>
          <w:sz w:val="22"/>
          <w:szCs w:val="22"/>
        </w:rPr>
        <w:t>Speaking and Listening</w:t>
      </w:r>
    </w:p>
    <w:p w14:paraId="59509AE8" w14:textId="77777777" w:rsidR="005769E6" w:rsidRDefault="005769E6" w:rsidP="005769E6">
      <w:pPr>
        <w:pStyle w:val="ListParagraph"/>
        <w:numPr>
          <w:ilvl w:val="1"/>
          <w:numId w:val="18"/>
        </w:numPr>
        <w:rPr>
          <w:sz w:val="22"/>
          <w:szCs w:val="22"/>
        </w:rPr>
      </w:pPr>
      <w:r w:rsidRPr="005769E6">
        <w:rPr>
          <w:sz w:val="22"/>
          <w:szCs w:val="22"/>
        </w:rPr>
        <w:t>Quantitative Reasoning</w:t>
      </w:r>
    </w:p>
    <w:p w14:paraId="4EA434F8" w14:textId="77777777" w:rsidR="005769E6" w:rsidRDefault="005769E6" w:rsidP="005769E6">
      <w:pPr>
        <w:pStyle w:val="ListParagraph"/>
        <w:numPr>
          <w:ilvl w:val="1"/>
          <w:numId w:val="18"/>
        </w:numPr>
        <w:rPr>
          <w:sz w:val="22"/>
          <w:szCs w:val="22"/>
        </w:rPr>
      </w:pPr>
      <w:r w:rsidRPr="005769E6">
        <w:rPr>
          <w:sz w:val="22"/>
          <w:szCs w:val="22"/>
        </w:rPr>
        <w:lastRenderedPageBreak/>
        <w:t>Scientific Ways of Knowing</w:t>
      </w:r>
    </w:p>
    <w:p w14:paraId="59031380" w14:textId="77777777" w:rsidR="005769E6" w:rsidRDefault="005769E6" w:rsidP="005769E6">
      <w:pPr>
        <w:pStyle w:val="ListParagraph"/>
        <w:numPr>
          <w:ilvl w:val="1"/>
          <w:numId w:val="18"/>
        </w:numPr>
        <w:rPr>
          <w:sz w:val="22"/>
          <w:szCs w:val="22"/>
        </w:rPr>
      </w:pPr>
      <w:r w:rsidRPr="005769E6">
        <w:rPr>
          <w:sz w:val="22"/>
          <w:szCs w:val="22"/>
        </w:rPr>
        <w:t>Humanistic and Artistic Ways of Knowing</w:t>
      </w:r>
    </w:p>
    <w:p w14:paraId="04CCC72E" w14:textId="660FFE8C" w:rsidR="005769E6" w:rsidRDefault="005769E6" w:rsidP="005769E6">
      <w:pPr>
        <w:pStyle w:val="ListParagraph"/>
        <w:numPr>
          <w:ilvl w:val="1"/>
          <w:numId w:val="18"/>
        </w:numPr>
        <w:rPr>
          <w:sz w:val="22"/>
          <w:szCs w:val="22"/>
        </w:rPr>
      </w:pPr>
      <w:r w:rsidRPr="005769E6">
        <w:rPr>
          <w:sz w:val="22"/>
          <w:szCs w:val="22"/>
        </w:rPr>
        <w:t>Social and Behavioral Ways of Knowing</w:t>
      </w:r>
    </w:p>
    <w:p w14:paraId="7215AA62" w14:textId="77777777" w:rsidR="007906CF" w:rsidRDefault="007906CF" w:rsidP="005769E6">
      <w:pPr>
        <w:pStyle w:val="ListParagraph"/>
        <w:rPr>
          <w:sz w:val="22"/>
          <w:szCs w:val="22"/>
        </w:rPr>
      </w:pPr>
    </w:p>
    <w:p w14:paraId="72C9AAFC" w14:textId="31263B69" w:rsidR="005769E6" w:rsidRDefault="005769E6" w:rsidP="005769E6">
      <w:pPr>
        <w:pStyle w:val="ListParagraph"/>
        <w:rPr>
          <w:sz w:val="22"/>
          <w:szCs w:val="22"/>
        </w:rPr>
      </w:pPr>
      <w:r>
        <w:rPr>
          <w:sz w:val="22"/>
          <w:szCs w:val="22"/>
        </w:rPr>
        <w:t xml:space="preserve">The elective component, defined by </w:t>
      </w:r>
      <w:r w:rsidR="009446DA">
        <w:rPr>
          <w:sz w:val="22"/>
          <w:szCs w:val="22"/>
        </w:rPr>
        <w:t>each</w:t>
      </w:r>
      <w:r>
        <w:rPr>
          <w:sz w:val="22"/>
          <w:szCs w:val="22"/>
        </w:rPr>
        <w:t xml:space="preserve"> campus, varies by </w:t>
      </w:r>
      <w:r w:rsidR="009446DA">
        <w:rPr>
          <w:sz w:val="22"/>
          <w:szCs w:val="22"/>
        </w:rPr>
        <w:t>where</w:t>
      </w:r>
      <w:r>
        <w:rPr>
          <w:sz w:val="22"/>
          <w:szCs w:val="22"/>
        </w:rPr>
        <w:t xml:space="preserve"> added experiences are required in the </w:t>
      </w:r>
      <w:r w:rsidR="007906CF">
        <w:rPr>
          <w:sz w:val="22"/>
          <w:szCs w:val="22"/>
        </w:rPr>
        <w:t>above competencies and whether a lab is required within the Scientific Ways of Knowing.</w:t>
      </w:r>
      <w:r w:rsidR="00760E56">
        <w:rPr>
          <w:sz w:val="22"/>
          <w:szCs w:val="22"/>
        </w:rPr>
        <w:t xml:space="preserve"> Up to 12 credits are required in the elective area, and are met with course</w:t>
      </w:r>
      <w:r w:rsidR="007D40DE">
        <w:rPr>
          <w:sz w:val="22"/>
          <w:szCs w:val="22"/>
        </w:rPr>
        <w:t>s</w:t>
      </w:r>
      <w:r w:rsidR="009446DA">
        <w:rPr>
          <w:sz w:val="22"/>
          <w:szCs w:val="22"/>
        </w:rPr>
        <w:t xml:space="preserve"> from across the above general e</w:t>
      </w:r>
      <w:r w:rsidR="00760E56">
        <w:rPr>
          <w:sz w:val="22"/>
          <w:szCs w:val="22"/>
        </w:rPr>
        <w:t>ducation competencies as defined by each campus.</w:t>
      </w:r>
    </w:p>
    <w:p w14:paraId="19F9DFD3" w14:textId="77777777" w:rsidR="00AC303C" w:rsidRDefault="00AC303C" w:rsidP="005769E6">
      <w:pPr>
        <w:pStyle w:val="ListParagraph"/>
        <w:rPr>
          <w:sz w:val="22"/>
          <w:szCs w:val="22"/>
        </w:rPr>
      </w:pPr>
    </w:p>
    <w:p w14:paraId="220C574E" w14:textId="544687FD" w:rsidR="00AC303C" w:rsidRDefault="00AC303C" w:rsidP="005769E6">
      <w:pPr>
        <w:pStyle w:val="ListParagraph"/>
        <w:rPr>
          <w:sz w:val="22"/>
          <w:szCs w:val="22"/>
        </w:rPr>
      </w:pPr>
      <w:r>
        <w:rPr>
          <w:sz w:val="22"/>
          <w:szCs w:val="22"/>
        </w:rPr>
        <w:t>Indiana state law (</w:t>
      </w:r>
      <w:hyperlink r:id="rId8" w:anchor="21-42-3-5" w:history="1">
        <w:r w:rsidRPr="00AC303C">
          <w:rPr>
            <w:rStyle w:val="Hyperlink"/>
            <w:sz w:val="22"/>
            <w:szCs w:val="22"/>
          </w:rPr>
          <w:t>IC 21-42-3-5</w:t>
        </w:r>
      </w:hyperlink>
      <w:r>
        <w:rPr>
          <w:sz w:val="22"/>
          <w:szCs w:val="22"/>
        </w:rPr>
        <w:t>) stipulates that, “</w:t>
      </w:r>
      <w:r w:rsidRPr="00AC303C">
        <w:rPr>
          <w:sz w:val="22"/>
          <w:szCs w:val="22"/>
        </w:rPr>
        <w:t>An individual who holds an associate of arts or associate of science degree approved by the commission who is admitted to a four (4) year state educational institution is considered to have met at least thirty (30) semester credit hours of the state educational institution's general education requirement.</w:t>
      </w:r>
      <w:r>
        <w:rPr>
          <w:sz w:val="22"/>
          <w:szCs w:val="22"/>
        </w:rPr>
        <w:t>” In keeping with this requirement, and to best support student re-engagement toward the baccalaureate degree, the completion of the STGEC is a core requirement of the Associate in Liberal Studies.</w:t>
      </w:r>
    </w:p>
    <w:p w14:paraId="443672EE" w14:textId="77777777" w:rsidR="007906CF" w:rsidRDefault="007906CF" w:rsidP="005769E6">
      <w:pPr>
        <w:pStyle w:val="ListParagraph"/>
        <w:rPr>
          <w:sz w:val="22"/>
          <w:szCs w:val="22"/>
        </w:rPr>
      </w:pPr>
    </w:p>
    <w:p w14:paraId="77E3DBB7" w14:textId="0B6DB387" w:rsidR="007906CF" w:rsidRDefault="007D40DE" w:rsidP="005769E6">
      <w:pPr>
        <w:pStyle w:val="ListParagraph"/>
        <w:rPr>
          <w:sz w:val="22"/>
          <w:szCs w:val="22"/>
        </w:rPr>
      </w:pPr>
      <w:r>
        <w:rPr>
          <w:sz w:val="22"/>
          <w:szCs w:val="22"/>
        </w:rPr>
        <w:t>Note that at Indiana University, a</w:t>
      </w:r>
      <w:r w:rsidR="007906CF">
        <w:rPr>
          <w:sz w:val="22"/>
          <w:szCs w:val="22"/>
        </w:rPr>
        <w:t xml:space="preserve">ll campuses have an established STGEC certification pathway that </w:t>
      </w:r>
      <w:r w:rsidR="00760E56">
        <w:rPr>
          <w:sz w:val="22"/>
          <w:szCs w:val="22"/>
        </w:rPr>
        <w:t>may be completed in</w:t>
      </w:r>
      <w:r w:rsidR="007906CF">
        <w:rPr>
          <w:sz w:val="22"/>
          <w:szCs w:val="22"/>
        </w:rPr>
        <w:t xml:space="preserve"> 30 credits.</w:t>
      </w:r>
    </w:p>
    <w:p w14:paraId="18CBF25C" w14:textId="77777777" w:rsidR="007906CF" w:rsidRDefault="007906CF" w:rsidP="005769E6">
      <w:pPr>
        <w:pStyle w:val="ListParagraph"/>
        <w:rPr>
          <w:sz w:val="22"/>
          <w:szCs w:val="22"/>
        </w:rPr>
      </w:pPr>
    </w:p>
    <w:p w14:paraId="3C58FABB" w14:textId="44E5154E" w:rsidR="007906CF" w:rsidRPr="007906CF" w:rsidRDefault="007906CF" w:rsidP="007906CF">
      <w:pPr>
        <w:pStyle w:val="ListParagraph"/>
        <w:numPr>
          <w:ilvl w:val="0"/>
          <w:numId w:val="18"/>
        </w:numPr>
        <w:rPr>
          <w:sz w:val="22"/>
          <w:szCs w:val="22"/>
          <w:u w:val="single"/>
        </w:rPr>
      </w:pPr>
      <w:r w:rsidRPr="007906CF">
        <w:rPr>
          <w:sz w:val="22"/>
          <w:szCs w:val="22"/>
          <w:u w:val="single"/>
        </w:rPr>
        <w:t>Campus Residency</w:t>
      </w:r>
    </w:p>
    <w:p w14:paraId="236F2795" w14:textId="1DC5DCDD" w:rsidR="007906CF" w:rsidRDefault="007906CF" w:rsidP="007906CF">
      <w:pPr>
        <w:pStyle w:val="ListParagraph"/>
        <w:rPr>
          <w:sz w:val="22"/>
          <w:szCs w:val="22"/>
        </w:rPr>
      </w:pPr>
      <w:r>
        <w:rPr>
          <w:sz w:val="22"/>
          <w:szCs w:val="22"/>
        </w:rPr>
        <w:t>Accreditation requirements generally state that a minimum of 25% of the student’s academic coursework must be completed at the degree-granting campus. Following this guidance, it would be necessary that if a student transferred to an IU campus prior to consider</w:t>
      </w:r>
      <w:r w:rsidR="009446DA">
        <w:rPr>
          <w:sz w:val="22"/>
          <w:szCs w:val="22"/>
        </w:rPr>
        <w:t>ation for the stop-out Associates in Liberal Studies</w:t>
      </w:r>
      <w:r>
        <w:rPr>
          <w:sz w:val="22"/>
          <w:szCs w:val="22"/>
        </w:rPr>
        <w:t xml:space="preserve">, they would </w:t>
      </w:r>
      <w:r w:rsidR="00760E56">
        <w:rPr>
          <w:sz w:val="22"/>
          <w:szCs w:val="22"/>
        </w:rPr>
        <w:t xml:space="preserve">still </w:t>
      </w:r>
      <w:r>
        <w:rPr>
          <w:sz w:val="22"/>
          <w:szCs w:val="22"/>
        </w:rPr>
        <w:t>need to complete at least 15 credits</w:t>
      </w:r>
      <w:r w:rsidR="00760E56">
        <w:rPr>
          <w:sz w:val="22"/>
          <w:szCs w:val="22"/>
        </w:rPr>
        <w:t xml:space="preserve"> for </w:t>
      </w:r>
      <w:r w:rsidR="005D276D">
        <w:rPr>
          <w:sz w:val="22"/>
          <w:szCs w:val="22"/>
        </w:rPr>
        <w:t xml:space="preserve">degree </w:t>
      </w:r>
      <w:r w:rsidR="00760E56">
        <w:rPr>
          <w:sz w:val="22"/>
          <w:szCs w:val="22"/>
        </w:rPr>
        <w:t>eligibility</w:t>
      </w:r>
      <w:r>
        <w:rPr>
          <w:sz w:val="22"/>
          <w:szCs w:val="22"/>
        </w:rPr>
        <w:t>.</w:t>
      </w:r>
    </w:p>
    <w:p w14:paraId="0F6367A0" w14:textId="77777777" w:rsidR="007906CF" w:rsidRDefault="007906CF" w:rsidP="007906CF">
      <w:pPr>
        <w:pStyle w:val="ListParagraph"/>
        <w:rPr>
          <w:sz w:val="22"/>
          <w:szCs w:val="22"/>
        </w:rPr>
      </w:pPr>
    </w:p>
    <w:p w14:paraId="3C2A0760" w14:textId="0F128714" w:rsidR="007906CF" w:rsidRDefault="007906CF" w:rsidP="007906CF">
      <w:pPr>
        <w:pStyle w:val="ListParagraph"/>
        <w:rPr>
          <w:sz w:val="22"/>
          <w:szCs w:val="22"/>
        </w:rPr>
      </w:pPr>
      <w:r>
        <w:rPr>
          <w:sz w:val="22"/>
          <w:szCs w:val="22"/>
        </w:rPr>
        <w:t>Other considerations of residency are addressed within the various campus requirement</w:t>
      </w:r>
      <w:r w:rsidR="00760E56">
        <w:rPr>
          <w:sz w:val="22"/>
          <w:szCs w:val="22"/>
        </w:rPr>
        <w:t>s</w:t>
      </w:r>
      <w:r>
        <w:rPr>
          <w:sz w:val="22"/>
          <w:szCs w:val="22"/>
        </w:rPr>
        <w:t xml:space="preserve"> in the certification of the STGEC milestone.</w:t>
      </w:r>
      <w:r w:rsidR="00D202E5">
        <w:rPr>
          <w:sz w:val="22"/>
          <w:szCs w:val="22"/>
        </w:rPr>
        <w:t xml:space="preserve"> A</w:t>
      </w:r>
      <w:r w:rsidR="00760E56">
        <w:rPr>
          <w:sz w:val="22"/>
          <w:szCs w:val="22"/>
        </w:rPr>
        <w:t>s noted below, a</w:t>
      </w:r>
      <w:r w:rsidR="00D202E5">
        <w:rPr>
          <w:sz w:val="22"/>
          <w:szCs w:val="22"/>
        </w:rPr>
        <w:t>ll IU campuses require that some minimum portion of the STGEC coursework be completed at that campus:</w:t>
      </w:r>
    </w:p>
    <w:p w14:paraId="26678E17" w14:textId="60B746B5" w:rsidR="00D202E5" w:rsidRDefault="00D202E5" w:rsidP="00D202E5">
      <w:pPr>
        <w:pStyle w:val="ListParagraph"/>
        <w:numPr>
          <w:ilvl w:val="1"/>
          <w:numId w:val="18"/>
        </w:numPr>
        <w:tabs>
          <w:tab w:val="left" w:leader="dot" w:pos="2520"/>
        </w:tabs>
        <w:rPr>
          <w:sz w:val="22"/>
          <w:szCs w:val="22"/>
        </w:rPr>
      </w:pPr>
      <w:r>
        <w:rPr>
          <w:sz w:val="22"/>
          <w:szCs w:val="22"/>
        </w:rPr>
        <w:t>IUB</w:t>
      </w:r>
      <w:r w:rsidR="009446DA">
        <w:rPr>
          <w:sz w:val="22"/>
          <w:szCs w:val="22"/>
        </w:rPr>
        <w:t xml:space="preserve"> </w:t>
      </w:r>
      <w:r>
        <w:rPr>
          <w:sz w:val="22"/>
          <w:szCs w:val="22"/>
        </w:rPr>
        <w:tab/>
      </w:r>
      <w:r w:rsidR="009446DA">
        <w:rPr>
          <w:sz w:val="22"/>
          <w:szCs w:val="22"/>
        </w:rPr>
        <w:t xml:space="preserve"> </w:t>
      </w:r>
      <w:r>
        <w:rPr>
          <w:sz w:val="22"/>
          <w:szCs w:val="22"/>
        </w:rPr>
        <w:t>6 credits</w:t>
      </w:r>
    </w:p>
    <w:p w14:paraId="56A4BC86" w14:textId="623B4C7B" w:rsidR="00D202E5" w:rsidRDefault="00D202E5" w:rsidP="00D202E5">
      <w:pPr>
        <w:pStyle w:val="ListParagraph"/>
        <w:numPr>
          <w:ilvl w:val="1"/>
          <w:numId w:val="18"/>
        </w:numPr>
        <w:tabs>
          <w:tab w:val="left" w:leader="dot" w:pos="2520"/>
        </w:tabs>
        <w:rPr>
          <w:sz w:val="22"/>
          <w:szCs w:val="22"/>
        </w:rPr>
      </w:pPr>
      <w:r>
        <w:rPr>
          <w:sz w:val="22"/>
          <w:szCs w:val="22"/>
        </w:rPr>
        <w:t>IUPUI</w:t>
      </w:r>
      <w:r w:rsidR="009446DA">
        <w:rPr>
          <w:sz w:val="22"/>
          <w:szCs w:val="22"/>
        </w:rPr>
        <w:t xml:space="preserve"> </w:t>
      </w:r>
      <w:r>
        <w:rPr>
          <w:sz w:val="22"/>
          <w:szCs w:val="22"/>
        </w:rPr>
        <w:tab/>
      </w:r>
      <w:r w:rsidR="009446DA">
        <w:rPr>
          <w:sz w:val="22"/>
          <w:szCs w:val="22"/>
        </w:rPr>
        <w:t xml:space="preserve"> </w:t>
      </w:r>
      <w:r>
        <w:rPr>
          <w:sz w:val="22"/>
          <w:szCs w:val="22"/>
        </w:rPr>
        <w:t>1 course</w:t>
      </w:r>
    </w:p>
    <w:p w14:paraId="477CE4B9" w14:textId="7375B978" w:rsidR="00D202E5" w:rsidRDefault="00D202E5" w:rsidP="00D202E5">
      <w:pPr>
        <w:pStyle w:val="ListParagraph"/>
        <w:numPr>
          <w:ilvl w:val="1"/>
          <w:numId w:val="18"/>
        </w:numPr>
        <w:tabs>
          <w:tab w:val="left" w:leader="dot" w:pos="2520"/>
        </w:tabs>
        <w:rPr>
          <w:sz w:val="22"/>
          <w:szCs w:val="22"/>
        </w:rPr>
      </w:pPr>
      <w:r>
        <w:rPr>
          <w:sz w:val="22"/>
          <w:szCs w:val="22"/>
        </w:rPr>
        <w:t>IUE</w:t>
      </w:r>
      <w:r>
        <w:rPr>
          <w:sz w:val="22"/>
          <w:szCs w:val="22"/>
        </w:rPr>
        <w:tab/>
      </w:r>
      <w:r w:rsidR="009446DA">
        <w:rPr>
          <w:sz w:val="22"/>
          <w:szCs w:val="22"/>
        </w:rPr>
        <w:t xml:space="preserve"> </w:t>
      </w:r>
      <w:r>
        <w:rPr>
          <w:sz w:val="22"/>
          <w:szCs w:val="22"/>
        </w:rPr>
        <w:t>1 course</w:t>
      </w:r>
    </w:p>
    <w:p w14:paraId="723FEF2A" w14:textId="236D596B" w:rsidR="00D202E5" w:rsidRDefault="00D202E5" w:rsidP="00D202E5">
      <w:pPr>
        <w:pStyle w:val="ListParagraph"/>
        <w:numPr>
          <w:ilvl w:val="1"/>
          <w:numId w:val="18"/>
        </w:numPr>
        <w:tabs>
          <w:tab w:val="left" w:leader="dot" w:pos="2520"/>
        </w:tabs>
        <w:rPr>
          <w:sz w:val="22"/>
          <w:szCs w:val="22"/>
        </w:rPr>
      </w:pPr>
      <w:r>
        <w:rPr>
          <w:sz w:val="22"/>
          <w:szCs w:val="22"/>
        </w:rPr>
        <w:t>IUK</w:t>
      </w:r>
      <w:r w:rsidR="009446DA">
        <w:rPr>
          <w:sz w:val="22"/>
          <w:szCs w:val="22"/>
        </w:rPr>
        <w:t xml:space="preserve"> </w:t>
      </w:r>
      <w:r>
        <w:rPr>
          <w:sz w:val="22"/>
          <w:szCs w:val="22"/>
        </w:rPr>
        <w:tab/>
      </w:r>
      <w:r w:rsidR="009446DA">
        <w:rPr>
          <w:sz w:val="22"/>
          <w:szCs w:val="22"/>
        </w:rPr>
        <w:t xml:space="preserve"> </w:t>
      </w:r>
      <w:r>
        <w:rPr>
          <w:sz w:val="22"/>
          <w:szCs w:val="22"/>
        </w:rPr>
        <w:t>1 course</w:t>
      </w:r>
    </w:p>
    <w:p w14:paraId="040E4777" w14:textId="2C6F6495" w:rsidR="00D202E5" w:rsidRDefault="00D202E5" w:rsidP="00D202E5">
      <w:pPr>
        <w:pStyle w:val="ListParagraph"/>
        <w:numPr>
          <w:ilvl w:val="1"/>
          <w:numId w:val="18"/>
        </w:numPr>
        <w:tabs>
          <w:tab w:val="left" w:leader="dot" w:pos="2520"/>
        </w:tabs>
        <w:rPr>
          <w:sz w:val="22"/>
          <w:szCs w:val="22"/>
        </w:rPr>
      </w:pPr>
      <w:r>
        <w:rPr>
          <w:sz w:val="22"/>
          <w:szCs w:val="22"/>
        </w:rPr>
        <w:t>IUN</w:t>
      </w:r>
      <w:r w:rsidR="009446DA">
        <w:rPr>
          <w:sz w:val="22"/>
          <w:szCs w:val="22"/>
        </w:rPr>
        <w:t xml:space="preserve"> </w:t>
      </w:r>
      <w:r>
        <w:rPr>
          <w:sz w:val="22"/>
          <w:szCs w:val="22"/>
        </w:rPr>
        <w:tab/>
      </w:r>
      <w:r w:rsidR="009446DA">
        <w:rPr>
          <w:sz w:val="22"/>
          <w:szCs w:val="22"/>
        </w:rPr>
        <w:t xml:space="preserve"> </w:t>
      </w:r>
      <w:r>
        <w:rPr>
          <w:sz w:val="22"/>
          <w:szCs w:val="22"/>
        </w:rPr>
        <w:t>1 credit</w:t>
      </w:r>
    </w:p>
    <w:p w14:paraId="32ADDA4B" w14:textId="43941F38" w:rsidR="00D202E5" w:rsidRDefault="00D202E5" w:rsidP="00D202E5">
      <w:pPr>
        <w:pStyle w:val="ListParagraph"/>
        <w:numPr>
          <w:ilvl w:val="1"/>
          <w:numId w:val="18"/>
        </w:numPr>
        <w:tabs>
          <w:tab w:val="left" w:leader="dot" w:pos="2520"/>
        </w:tabs>
        <w:rPr>
          <w:sz w:val="22"/>
          <w:szCs w:val="22"/>
        </w:rPr>
      </w:pPr>
      <w:r>
        <w:rPr>
          <w:sz w:val="22"/>
          <w:szCs w:val="22"/>
        </w:rPr>
        <w:t>IUSB</w:t>
      </w:r>
      <w:r>
        <w:rPr>
          <w:sz w:val="22"/>
          <w:szCs w:val="22"/>
        </w:rPr>
        <w:tab/>
      </w:r>
      <w:r w:rsidR="009446DA">
        <w:rPr>
          <w:sz w:val="22"/>
          <w:szCs w:val="22"/>
        </w:rPr>
        <w:t xml:space="preserve"> </w:t>
      </w:r>
      <w:r>
        <w:rPr>
          <w:sz w:val="22"/>
          <w:szCs w:val="22"/>
        </w:rPr>
        <w:t>1 course</w:t>
      </w:r>
    </w:p>
    <w:p w14:paraId="7E227D71" w14:textId="26A15D8E" w:rsidR="00D202E5" w:rsidRDefault="00D202E5" w:rsidP="00D202E5">
      <w:pPr>
        <w:pStyle w:val="ListParagraph"/>
        <w:numPr>
          <w:ilvl w:val="1"/>
          <w:numId w:val="18"/>
        </w:numPr>
        <w:tabs>
          <w:tab w:val="left" w:leader="dot" w:pos="2520"/>
        </w:tabs>
        <w:rPr>
          <w:sz w:val="22"/>
          <w:szCs w:val="22"/>
        </w:rPr>
      </w:pPr>
      <w:r>
        <w:rPr>
          <w:sz w:val="22"/>
          <w:szCs w:val="22"/>
        </w:rPr>
        <w:t>IUS</w:t>
      </w:r>
      <w:r w:rsidR="009446DA">
        <w:rPr>
          <w:sz w:val="22"/>
          <w:szCs w:val="22"/>
        </w:rPr>
        <w:t xml:space="preserve"> </w:t>
      </w:r>
      <w:r>
        <w:rPr>
          <w:sz w:val="22"/>
          <w:szCs w:val="22"/>
        </w:rPr>
        <w:tab/>
      </w:r>
      <w:r w:rsidR="009446DA">
        <w:rPr>
          <w:sz w:val="22"/>
          <w:szCs w:val="22"/>
        </w:rPr>
        <w:t xml:space="preserve"> </w:t>
      </w:r>
      <w:r>
        <w:rPr>
          <w:sz w:val="22"/>
          <w:szCs w:val="22"/>
        </w:rPr>
        <w:t>1 credit</w:t>
      </w:r>
    </w:p>
    <w:p w14:paraId="0E78B20B" w14:textId="77777777" w:rsidR="00D202E5" w:rsidRDefault="00D202E5" w:rsidP="00D202E5">
      <w:pPr>
        <w:rPr>
          <w:sz w:val="22"/>
          <w:szCs w:val="22"/>
        </w:rPr>
      </w:pPr>
    </w:p>
    <w:p w14:paraId="09AF4155" w14:textId="62235C4D" w:rsidR="00D202E5" w:rsidRPr="00D202E5" w:rsidRDefault="00D202E5" w:rsidP="00D202E5">
      <w:pPr>
        <w:pStyle w:val="ListParagraph"/>
        <w:numPr>
          <w:ilvl w:val="0"/>
          <w:numId w:val="18"/>
        </w:numPr>
        <w:rPr>
          <w:sz w:val="22"/>
          <w:szCs w:val="22"/>
          <w:u w:val="single"/>
        </w:rPr>
      </w:pPr>
      <w:r w:rsidRPr="00D202E5">
        <w:rPr>
          <w:sz w:val="22"/>
          <w:szCs w:val="22"/>
          <w:u w:val="single"/>
        </w:rPr>
        <w:t>Minimum GPA</w:t>
      </w:r>
    </w:p>
    <w:p w14:paraId="3B7BC41A" w14:textId="1BED1583" w:rsidR="00D202E5" w:rsidRDefault="00D202E5" w:rsidP="00D202E5">
      <w:pPr>
        <w:pStyle w:val="ListParagraph"/>
        <w:rPr>
          <w:sz w:val="22"/>
          <w:szCs w:val="22"/>
        </w:rPr>
      </w:pPr>
      <w:r>
        <w:rPr>
          <w:sz w:val="22"/>
          <w:szCs w:val="22"/>
        </w:rPr>
        <w:t xml:space="preserve">It is standard </w:t>
      </w:r>
      <w:r w:rsidR="00056401">
        <w:rPr>
          <w:sz w:val="22"/>
          <w:szCs w:val="22"/>
        </w:rPr>
        <w:t>across</w:t>
      </w:r>
      <w:r>
        <w:rPr>
          <w:sz w:val="22"/>
          <w:szCs w:val="22"/>
        </w:rPr>
        <w:t xml:space="preserve"> Indiana University that students must obtain a cumulative Grade Point Average of 2.0 on a 4.0 scale for all courses </w:t>
      </w:r>
      <w:r w:rsidR="00EF29CF">
        <w:rPr>
          <w:sz w:val="22"/>
          <w:szCs w:val="22"/>
        </w:rPr>
        <w:t>taken at IU. The same w</w:t>
      </w:r>
      <w:r>
        <w:rPr>
          <w:sz w:val="22"/>
          <w:szCs w:val="22"/>
        </w:rPr>
        <w:t>ould apply for</w:t>
      </w:r>
      <w:r w:rsidR="009446DA">
        <w:rPr>
          <w:sz w:val="22"/>
          <w:szCs w:val="22"/>
        </w:rPr>
        <w:t xml:space="preserve"> consideration of the Associates </w:t>
      </w:r>
      <w:r>
        <w:rPr>
          <w:sz w:val="22"/>
          <w:szCs w:val="22"/>
        </w:rPr>
        <w:t>in Liberal Studies.</w:t>
      </w:r>
    </w:p>
    <w:p w14:paraId="166ECA04" w14:textId="77777777" w:rsidR="00D202E5" w:rsidRDefault="00D202E5" w:rsidP="00D202E5">
      <w:pPr>
        <w:pStyle w:val="ListParagraph"/>
        <w:rPr>
          <w:sz w:val="22"/>
          <w:szCs w:val="22"/>
        </w:rPr>
      </w:pPr>
    </w:p>
    <w:p w14:paraId="3348C4F5" w14:textId="5EF9C906" w:rsidR="00D202E5" w:rsidRPr="00D202E5" w:rsidRDefault="00D202E5" w:rsidP="00D202E5">
      <w:pPr>
        <w:pStyle w:val="ListParagraph"/>
        <w:numPr>
          <w:ilvl w:val="0"/>
          <w:numId w:val="18"/>
        </w:numPr>
        <w:rPr>
          <w:sz w:val="22"/>
          <w:szCs w:val="22"/>
          <w:u w:val="single"/>
        </w:rPr>
      </w:pPr>
      <w:r w:rsidRPr="00D202E5">
        <w:rPr>
          <w:sz w:val="22"/>
          <w:szCs w:val="22"/>
          <w:u w:val="single"/>
        </w:rPr>
        <w:t>200-Level Course Requirement</w:t>
      </w:r>
    </w:p>
    <w:p w14:paraId="2FA1DE59" w14:textId="78B66FEE" w:rsidR="00D202E5" w:rsidRDefault="00EF29CF" w:rsidP="00D202E5">
      <w:pPr>
        <w:pStyle w:val="ListParagraph"/>
        <w:rPr>
          <w:sz w:val="22"/>
          <w:szCs w:val="22"/>
        </w:rPr>
      </w:pPr>
      <w:r>
        <w:rPr>
          <w:sz w:val="22"/>
          <w:szCs w:val="22"/>
        </w:rPr>
        <w:t>While the degree does not require a major or concentration, a</w:t>
      </w:r>
      <w:r w:rsidR="00D202E5">
        <w:rPr>
          <w:sz w:val="22"/>
          <w:szCs w:val="22"/>
        </w:rPr>
        <w:t xml:space="preserve">t least 15 credits </w:t>
      </w:r>
      <w:r w:rsidR="00760E56">
        <w:rPr>
          <w:sz w:val="22"/>
          <w:szCs w:val="22"/>
        </w:rPr>
        <w:t>must</w:t>
      </w:r>
      <w:r>
        <w:rPr>
          <w:sz w:val="22"/>
          <w:szCs w:val="22"/>
        </w:rPr>
        <w:t xml:space="preserve"> be taken at the 200-499 level.</w:t>
      </w:r>
    </w:p>
    <w:p w14:paraId="0AE9AC01" w14:textId="77777777" w:rsidR="00EF29CF" w:rsidRDefault="00EF29CF" w:rsidP="00D202E5">
      <w:pPr>
        <w:pStyle w:val="ListParagraph"/>
        <w:rPr>
          <w:sz w:val="22"/>
          <w:szCs w:val="22"/>
        </w:rPr>
      </w:pPr>
    </w:p>
    <w:p w14:paraId="07D6A02B" w14:textId="4CF28E8F" w:rsidR="00EF29CF" w:rsidRPr="00793029" w:rsidRDefault="00EF29CF" w:rsidP="00EF29CF">
      <w:pPr>
        <w:rPr>
          <w:b/>
          <w:sz w:val="22"/>
          <w:szCs w:val="22"/>
        </w:rPr>
      </w:pPr>
      <w:r>
        <w:rPr>
          <w:b/>
          <w:sz w:val="22"/>
          <w:szCs w:val="22"/>
        </w:rPr>
        <w:t>Variations and Applicability</w:t>
      </w:r>
    </w:p>
    <w:p w14:paraId="32516C67" w14:textId="77777777" w:rsidR="00593F11" w:rsidRPr="00593F11" w:rsidRDefault="00593F11" w:rsidP="00593F11">
      <w:pPr>
        <w:pStyle w:val="ListParagraph"/>
        <w:numPr>
          <w:ilvl w:val="0"/>
          <w:numId w:val="20"/>
        </w:numPr>
        <w:rPr>
          <w:sz w:val="22"/>
          <w:szCs w:val="22"/>
          <w:u w:val="single"/>
        </w:rPr>
      </w:pPr>
      <w:r w:rsidRPr="00593F11">
        <w:rPr>
          <w:sz w:val="22"/>
          <w:szCs w:val="22"/>
          <w:u w:val="single"/>
        </w:rPr>
        <w:t>General Education</w:t>
      </w:r>
    </w:p>
    <w:p w14:paraId="0F0B8FFB" w14:textId="2E37490A" w:rsidR="00593F11" w:rsidRDefault="00593F11" w:rsidP="00593F11">
      <w:pPr>
        <w:pStyle w:val="ListParagraph"/>
        <w:rPr>
          <w:sz w:val="22"/>
          <w:szCs w:val="22"/>
        </w:rPr>
      </w:pPr>
      <w:r>
        <w:rPr>
          <w:sz w:val="22"/>
          <w:szCs w:val="22"/>
        </w:rPr>
        <w:t>The STGEC Milestone</w:t>
      </w:r>
      <w:r w:rsidR="005D276D">
        <w:rPr>
          <w:sz w:val="22"/>
          <w:szCs w:val="22"/>
        </w:rPr>
        <w:t xml:space="preserve"> </w:t>
      </w:r>
      <w:r>
        <w:rPr>
          <w:sz w:val="22"/>
          <w:szCs w:val="22"/>
        </w:rPr>
        <w:t>is to be certified based on the campus standards.</w:t>
      </w:r>
      <w:r w:rsidR="00760E56">
        <w:rPr>
          <w:sz w:val="22"/>
          <w:szCs w:val="22"/>
        </w:rPr>
        <w:t xml:space="preserve"> </w:t>
      </w:r>
      <w:r w:rsidR="005D276D">
        <w:rPr>
          <w:sz w:val="22"/>
          <w:szCs w:val="22"/>
        </w:rPr>
        <w:t xml:space="preserve">For transferring students, the STGEC Milestone, if completed, will be honored. </w:t>
      </w:r>
      <w:r w:rsidR="00760E56">
        <w:rPr>
          <w:sz w:val="22"/>
          <w:szCs w:val="22"/>
        </w:rPr>
        <w:t xml:space="preserve">Otherwise, </w:t>
      </w:r>
      <w:r w:rsidR="005D276D">
        <w:rPr>
          <w:sz w:val="22"/>
          <w:szCs w:val="22"/>
        </w:rPr>
        <w:t>the degree granting campus requirements apply</w:t>
      </w:r>
      <w:r w:rsidR="00760E56">
        <w:rPr>
          <w:sz w:val="22"/>
          <w:szCs w:val="22"/>
        </w:rPr>
        <w:t>.</w:t>
      </w:r>
      <w:r w:rsidR="00AC303C">
        <w:rPr>
          <w:sz w:val="22"/>
          <w:szCs w:val="22"/>
        </w:rPr>
        <w:t xml:space="preserve"> </w:t>
      </w:r>
    </w:p>
    <w:p w14:paraId="5E186562" w14:textId="4EEA88CD" w:rsidR="00593F11" w:rsidRDefault="005D276D" w:rsidP="005D276D">
      <w:pPr>
        <w:pStyle w:val="ListParagraph"/>
        <w:tabs>
          <w:tab w:val="left" w:pos="6480"/>
        </w:tabs>
        <w:rPr>
          <w:sz w:val="22"/>
          <w:szCs w:val="22"/>
        </w:rPr>
      </w:pPr>
      <w:r>
        <w:rPr>
          <w:sz w:val="22"/>
          <w:szCs w:val="22"/>
        </w:rPr>
        <w:tab/>
      </w:r>
    </w:p>
    <w:p w14:paraId="140E2A2D" w14:textId="36DF0DB0" w:rsidR="00593F11" w:rsidRPr="00593F11" w:rsidRDefault="00EF29CF" w:rsidP="00593F11">
      <w:pPr>
        <w:pStyle w:val="ListParagraph"/>
        <w:rPr>
          <w:sz w:val="22"/>
          <w:szCs w:val="22"/>
        </w:rPr>
      </w:pPr>
      <w:r w:rsidRPr="00593F11">
        <w:rPr>
          <w:sz w:val="22"/>
          <w:szCs w:val="22"/>
        </w:rPr>
        <w:t xml:space="preserve">While </w:t>
      </w:r>
      <w:r w:rsidR="00760E56">
        <w:rPr>
          <w:sz w:val="22"/>
          <w:szCs w:val="22"/>
        </w:rPr>
        <w:t xml:space="preserve">some </w:t>
      </w:r>
      <w:r w:rsidRPr="00593F11">
        <w:rPr>
          <w:sz w:val="22"/>
          <w:szCs w:val="22"/>
        </w:rPr>
        <w:t xml:space="preserve">campuses have additional “general education” requirements beyond the STGEC, it is not intended that those be incorporated into the Associates </w:t>
      </w:r>
      <w:r w:rsidR="00AC303C">
        <w:rPr>
          <w:sz w:val="22"/>
          <w:szCs w:val="22"/>
        </w:rPr>
        <w:t>in Liberal Studies</w:t>
      </w:r>
      <w:r w:rsidRPr="00593F11">
        <w:rPr>
          <w:sz w:val="22"/>
          <w:szCs w:val="22"/>
        </w:rPr>
        <w:t xml:space="preserve"> curriculum. It should be noted, however, that returning students would still be responsible for </w:t>
      </w:r>
      <w:r w:rsidRPr="00825F1C">
        <w:rPr>
          <w:i/>
          <w:sz w:val="22"/>
          <w:szCs w:val="22"/>
        </w:rPr>
        <w:t>all</w:t>
      </w:r>
      <w:r w:rsidRPr="00593F11">
        <w:rPr>
          <w:sz w:val="22"/>
          <w:szCs w:val="22"/>
        </w:rPr>
        <w:t xml:space="preserve"> campus requirements in order to be eligible for a baccalaureate degree</w:t>
      </w:r>
      <w:r w:rsidR="00593F11" w:rsidRPr="00593F11">
        <w:rPr>
          <w:sz w:val="22"/>
          <w:szCs w:val="22"/>
        </w:rPr>
        <w:t>. Likewise, students who receive the Associate Degree from one IU campus and subsequently enroll at another would be responsible for the degree requirements of the baccalaureate granting campus.</w:t>
      </w:r>
    </w:p>
    <w:p w14:paraId="5CD60653" w14:textId="77777777" w:rsidR="00593F11" w:rsidRDefault="00593F11" w:rsidP="00EF29CF">
      <w:pPr>
        <w:rPr>
          <w:sz w:val="22"/>
          <w:szCs w:val="22"/>
        </w:rPr>
      </w:pPr>
    </w:p>
    <w:p w14:paraId="4A5514FA" w14:textId="77777777" w:rsidR="00593F11" w:rsidRPr="00593F11" w:rsidRDefault="00593F11" w:rsidP="00593F11">
      <w:pPr>
        <w:pStyle w:val="ListParagraph"/>
        <w:numPr>
          <w:ilvl w:val="0"/>
          <w:numId w:val="20"/>
        </w:numPr>
        <w:rPr>
          <w:u w:val="single"/>
        </w:rPr>
      </w:pPr>
      <w:r w:rsidRPr="00593F11">
        <w:rPr>
          <w:sz w:val="22"/>
          <w:szCs w:val="22"/>
          <w:u w:val="single"/>
        </w:rPr>
        <w:t>Residency</w:t>
      </w:r>
    </w:p>
    <w:p w14:paraId="240359F6" w14:textId="261CDD33" w:rsidR="002274F4" w:rsidRDefault="00593F11" w:rsidP="00593F11">
      <w:pPr>
        <w:pStyle w:val="ListParagraph"/>
        <w:rPr>
          <w:sz w:val="22"/>
          <w:szCs w:val="22"/>
        </w:rPr>
      </w:pPr>
      <w:r w:rsidRPr="00593F11">
        <w:rPr>
          <w:sz w:val="22"/>
          <w:szCs w:val="22"/>
        </w:rPr>
        <w:t xml:space="preserve">Regarding the residency requirements, if the student transfers </w:t>
      </w:r>
      <w:r w:rsidR="00056401">
        <w:rPr>
          <w:sz w:val="22"/>
          <w:szCs w:val="22"/>
        </w:rPr>
        <w:t>to Indiana University</w:t>
      </w:r>
      <w:r w:rsidRPr="00593F11">
        <w:rPr>
          <w:sz w:val="22"/>
          <w:szCs w:val="22"/>
        </w:rPr>
        <w:t xml:space="preserve"> with the STGEC milestone before subsequently stopping out, the variations in STGEC residency requirements would not apply. For students complet</w:t>
      </w:r>
      <w:r w:rsidR="00AC303C">
        <w:rPr>
          <w:sz w:val="22"/>
          <w:szCs w:val="22"/>
        </w:rPr>
        <w:t>ing the STGEC at the Associate d</w:t>
      </w:r>
      <w:r w:rsidRPr="00593F11">
        <w:rPr>
          <w:sz w:val="22"/>
          <w:szCs w:val="22"/>
        </w:rPr>
        <w:t xml:space="preserve">egree granting campus, it is expected that the </w:t>
      </w:r>
      <w:r w:rsidR="00AC303C">
        <w:rPr>
          <w:sz w:val="22"/>
          <w:szCs w:val="22"/>
        </w:rPr>
        <w:t xml:space="preserve">STGEC residency </w:t>
      </w:r>
      <w:r w:rsidRPr="00593F11">
        <w:rPr>
          <w:sz w:val="22"/>
          <w:szCs w:val="22"/>
        </w:rPr>
        <w:t xml:space="preserve">variations noted </w:t>
      </w:r>
      <w:r w:rsidR="005D276D">
        <w:rPr>
          <w:sz w:val="22"/>
          <w:szCs w:val="22"/>
        </w:rPr>
        <w:t>earlier</w:t>
      </w:r>
      <w:r w:rsidRPr="00593F11">
        <w:rPr>
          <w:sz w:val="22"/>
          <w:szCs w:val="22"/>
        </w:rPr>
        <w:t xml:space="preserve"> should not be a barrier</w:t>
      </w:r>
      <w:r w:rsidR="00B57B1F">
        <w:rPr>
          <w:sz w:val="22"/>
          <w:szCs w:val="22"/>
        </w:rPr>
        <w:t xml:space="preserve"> to the awarding of the degree</w:t>
      </w:r>
      <w:r w:rsidRPr="00593F11">
        <w:rPr>
          <w:sz w:val="22"/>
          <w:szCs w:val="22"/>
        </w:rPr>
        <w:t xml:space="preserve">. </w:t>
      </w:r>
    </w:p>
    <w:p w14:paraId="23DC6C8A" w14:textId="77777777" w:rsidR="00B57B1F" w:rsidRDefault="00B57B1F" w:rsidP="00593F11">
      <w:pPr>
        <w:pStyle w:val="ListParagraph"/>
        <w:rPr>
          <w:sz w:val="22"/>
          <w:szCs w:val="22"/>
        </w:rPr>
      </w:pPr>
    </w:p>
    <w:p w14:paraId="5A3CAB78" w14:textId="60217A27" w:rsidR="00B57B1F" w:rsidRDefault="00B57B1F" w:rsidP="00593F11">
      <w:pPr>
        <w:pStyle w:val="ListParagraph"/>
        <w:rPr>
          <w:sz w:val="22"/>
          <w:szCs w:val="22"/>
        </w:rPr>
      </w:pPr>
      <w:r>
        <w:rPr>
          <w:sz w:val="22"/>
          <w:szCs w:val="22"/>
        </w:rPr>
        <w:t>While there has been some discussion as to whether the 15-credit minimum is sufficient</w:t>
      </w:r>
      <w:r w:rsidR="00C20124">
        <w:rPr>
          <w:sz w:val="22"/>
          <w:szCs w:val="22"/>
        </w:rPr>
        <w:t xml:space="preserve"> for courses taken at the degree granting campus</w:t>
      </w:r>
      <w:r>
        <w:rPr>
          <w:sz w:val="22"/>
          <w:szCs w:val="22"/>
        </w:rPr>
        <w:t xml:space="preserve">, it remains the recommendation that the accreditation standard </w:t>
      </w:r>
      <w:r w:rsidR="00C20124">
        <w:rPr>
          <w:sz w:val="22"/>
          <w:szCs w:val="22"/>
        </w:rPr>
        <w:t xml:space="preserve">of 25% </w:t>
      </w:r>
      <w:r>
        <w:rPr>
          <w:sz w:val="22"/>
          <w:szCs w:val="22"/>
        </w:rPr>
        <w:t>is the appropriate guideline.</w:t>
      </w:r>
    </w:p>
    <w:p w14:paraId="0E38252A" w14:textId="77777777" w:rsidR="00B57B1F" w:rsidRDefault="00B57B1F" w:rsidP="00593F11">
      <w:pPr>
        <w:pStyle w:val="ListParagraph"/>
        <w:rPr>
          <w:sz w:val="22"/>
          <w:szCs w:val="22"/>
        </w:rPr>
      </w:pPr>
    </w:p>
    <w:p w14:paraId="7926C81D" w14:textId="1C218BFA" w:rsidR="00B57B1F" w:rsidRPr="0009296E" w:rsidRDefault="00B57B1F" w:rsidP="00B57B1F">
      <w:pPr>
        <w:pStyle w:val="ListParagraph"/>
        <w:numPr>
          <w:ilvl w:val="0"/>
          <w:numId w:val="20"/>
        </w:numPr>
        <w:rPr>
          <w:u w:val="single"/>
        </w:rPr>
      </w:pPr>
      <w:r w:rsidRPr="0009296E">
        <w:rPr>
          <w:sz w:val="22"/>
          <w:szCs w:val="22"/>
          <w:u w:val="single"/>
        </w:rPr>
        <w:t xml:space="preserve">Campus </w:t>
      </w:r>
      <w:r w:rsidR="005D276D">
        <w:rPr>
          <w:sz w:val="22"/>
          <w:szCs w:val="22"/>
          <w:u w:val="single"/>
        </w:rPr>
        <w:t xml:space="preserve">Baccalaureate Degree </w:t>
      </w:r>
      <w:r w:rsidRPr="0009296E">
        <w:rPr>
          <w:sz w:val="22"/>
          <w:szCs w:val="22"/>
          <w:u w:val="single"/>
        </w:rPr>
        <w:t>Requirements</w:t>
      </w:r>
    </w:p>
    <w:p w14:paraId="1D8953E0" w14:textId="6A943716" w:rsidR="00B57B1F" w:rsidRDefault="00B57B1F" w:rsidP="00B57B1F">
      <w:pPr>
        <w:pStyle w:val="ListParagraph"/>
        <w:rPr>
          <w:sz w:val="22"/>
          <w:szCs w:val="22"/>
        </w:rPr>
      </w:pPr>
      <w:r>
        <w:rPr>
          <w:sz w:val="22"/>
          <w:szCs w:val="22"/>
        </w:rPr>
        <w:t>Any campus requirements</w:t>
      </w:r>
      <w:r w:rsidR="0009296E">
        <w:rPr>
          <w:sz w:val="22"/>
          <w:szCs w:val="22"/>
        </w:rPr>
        <w:t xml:space="preserve"> (including applicable prerequisite coursework)</w:t>
      </w:r>
      <w:r>
        <w:rPr>
          <w:sz w:val="22"/>
          <w:szCs w:val="22"/>
        </w:rPr>
        <w:t xml:space="preserve"> not satisfied within </w:t>
      </w:r>
      <w:r w:rsidR="00AC303C">
        <w:rPr>
          <w:sz w:val="22"/>
          <w:szCs w:val="22"/>
        </w:rPr>
        <w:t xml:space="preserve">the completion of the Associates </w:t>
      </w:r>
      <w:r>
        <w:rPr>
          <w:sz w:val="22"/>
          <w:szCs w:val="22"/>
        </w:rPr>
        <w:t xml:space="preserve">in Liberal Studies must still be completed by any student returning </w:t>
      </w:r>
      <w:r w:rsidR="00C20124">
        <w:rPr>
          <w:sz w:val="22"/>
          <w:szCs w:val="22"/>
        </w:rPr>
        <w:t xml:space="preserve">or enrolling </w:t>
      </w:r>
      <w:r>
        <w:rPr>
          <w:sz w:val="22"/>
          <w:szCs w:val="22"/>
        </w:rPr>
        <w:t>for a Baccalaureate Degree.</w:t>
      </w:r>
      <w:r w:rsidR="00825F1C">
        <w:rPr>
          <w:sz w:val="22"/>
          <w:szCs w:val="22"/>
        </w:rPr>
        <w:br/>
      </w:r>
    </w:p>
    <w:p w14:paraId="27F6675C" w14:textId="6B06CA9C" w:rsidR="0009296E" w:rsidRPr="0009296E" w:rsidRDefault="0009296E" w:rsidP="0009296E">
      <w:pPr>
        <w:pStyle w:val="ListParagraph"/>
        <w:numPr>
          <w:ilvl w:val="0"/>
          <w:numId w:val="20"/>
        </w:numPr>
        <w:rPr>
          <w:sz w:val="22"/>
          <w:szCs w:val="22"/>
          <w:u w:val="single"/>
        </w:rPr>
      </w:pPr>
      <w:r w:rsidRPr="0009296E">
        <w:rPr>
          <w:sz w:val="22"/>
          <w:szCs w:val="22"/>
          <w:u w:val="single"/>
        </w:rPr>
        <w:t>Online Students</w:t>
      </w:r>
    </w:p>
    <w:p w14:paraId="7EA069C6" w14:textId="51E9D21D" w:rsidR="0009296E" w:rsidRDefault="0009296E" w:rsidP="0009296E">
      <w:pPr>
        <w:pStyle w:val="ListParagraph"/>
        <w:rPr>
          <w:sz w:val="22"/>
          <w:szCs w:val="22"/>
        </w:rPr>
      </w:pPr>
      <w:r>
        <w:rPr>
          <w:sz w:val="22"/>
          <w:szCs w:val="22"/>
        </w:rPr>
        <w:t>Students enrolled in online degree programs or courses have the same eligibility to be considered for the Associate Degree in Liberal Studies based on the applicable standards and requirements of their campus of record for degree-seeking purposes.</w:t>
      </w:r>
    </w:p>
    <w:p w14:paraId="799DF5B1" w14:textId="77777777" w:rsidR="00B57B1F" w:rsidRDefault="00B57B1F" w:rsidP="00B57B1F">
      <w:pPr>
        <w:pStyle w:val="ListParagraph"/>
        <w:rPr>
          <w:sz w:val="22"/>
          <w:szCs w:val="22"/>
        </w:rPr>
      </w:pPr>
    </w:p>
    <w:p w14:paraId="3B323E07" w14:textId="77777777" w:rsidR="00B57B1F" w:rsidRPr="00793029" w:rsidRDefault="00B57B1F" w:rsidP="00B57B1F">
      <w:pPr>
        <w:rPr>
          <w:b/>
          <w:sz w:val="22"/>
          <w:szCs w:val="22"/>
        </w:rPr>
      </w:pPr>
      <w:r w:rsidRPr="00793029">
        <w:rPr>
          <w:b/>
          <w:sz w:val="22"/>
          <w:szCs w:val="22"/>
        </w:rPr>
        <w:t>Implementation</w:t>
      </w:r>
    </w:p>
    <w:p w14:paraId="3A57D840" w14:textId="77777777" w:rsidR="00B57B1F" w:rsidRPr="00B57B1F" w:rsidRDefault="00B57B1F" w:rsidP="00B57B1F">
      <w:pPr>
        <w:pStyle w:val="ListParagraph"/>
        <w:numPr>
          <w:ilvl w:val="0"/>
          <w:numId w:val="21"/>
        </w:numPr>
        <w:rPr>
          <w:sz w:val="22"/>
          <w:szCs w:val="22"/>
          <w:u w:val="single"/>
        </w:rPr>
      </w:pPr>
      <w:r w:rsidRPr="00B57B1F">
        <w:rPr>
          <w:sz w:val="22"/>
          <w:szCs w:val="22"/>
          <w:u w:val="single"/>
        </w:rPr>
        <w:t>Degree Certification Framework</w:t>
      </w:r>
    </w:p>
    <w:p w14:paraId="173A56DE" w14:textId="19E0BEEC" w:rsidR="00B57B1F" w:rsidRDefault="00B57B1F" w:rsidP="00B57B1F">
      <w:pPr>
        <w:pStyle w:val="ListParagraph"/>
        <w:rPr>
          <w:sz w:val="22"/>
          <w:szCs w:val="22"/>
        </w:rPr>
      </w:pPr>
      <w:r>
        <w:rPr>
          <w:sz w:val="22"/>
          <w:szCs w:val="22"/>
        </w:rPr>
        <w:t>The degree is to be certified based on the completion of the degree requirements as outlined above</w:t>
      </w:r>
      <w:r w:rsidR="007D40DE">
        <w:rPr>
          <w:sz w:val="22"/>
          <w:szCs w:val="22"/>
        </w:rPr>
        <w:t>, including</w:t>
      </w:r>
      <w:r>
        <w:rPr>
          <w:sz w:val="22"/>
          <w:szCs w:val="22"/>
        </w:rPr>
        <w:t>:</w:t>
      </w:r>
    </w:p>
    <w:p w14:paraId="2827AC4F" w14:textId="5EB4C4AC" w:rsidR="00B57B1F" w:rsidRDefault="00B57B1F" w:rsidP="00C20124">
      <w:pPr>
        <w:pStyle w:val="ListParagraph"/>
        <w:numPr>
          <w:ilvl w:val="1"/>
          <w:numId w:val="18"/>
        </w:numPr>
        <w:tabs>
          <w:tab w:val="left" w:leader="dot" w:pos="2520"/>
        </w:tabs>
        <w:rPr>
          <w:sz w:val="22"/>
          <w:szCs w:val="22"/>
        </w:rPr>
      </w:pPr>
      <w:r>
        <w:rPr>
          <w:sz w:val="22"/>
          <w:szCs w:val="22"/>
        </w:rPr>
        <w:t>Minimum of 60 credits in courses designated between 100 and 499</w:t>
      </w:r>
      <w:r w:rsidR="0009296E">
        <w:rPr>
          <w:sz w:val="22"/>
          <w:szCs w:val="22"/>
        </w:rPr>
        <w:t xml:space="preserve"> (remedial courses may not be applied to degree requirements)</w:t>
      </w:r>
      <w:r>
        <w:rPr>
          <w:sz w:val="22"/>
          <w:szCs w:val="22"/>
        </w:rPr>
        <w:t>;</w:t>
      </w:r>
    </w:p>
    <w:p w14:paraId="6F81230B" w14:textId="2F9979EA" w:rsidR="00B57B1F" w:rsidRDefault="00B57B1F" w:rsidP="00C20124">
      <w:pPr>
        <w:pStyle w:val="ListParagraph"/>
        <w:numPr>
          <w:ilvl w:val="1"/>
          <w:numId w:val="18"/>
        </w:numPr>
        <w:tabs>
          <w:tab w:val="left" w:leader="dot" w:pos="2520"/>
        </w:tabs>
        <w:rPr>
          <w:sz w:val="22"/>
          <w:szCs w:val="22"/>
        </w:rPr>
      </w:pPr>
      <w:r>
        <w:rPr>
          <w:sz w:val="22"/>
          <w:szCs w:val="22"/>
        </w:rPr>
        <w:t>STGEC Milestone – as required by the degree granting campus</w:t>
      </w:r>
      <w:r w:rsidR="007D40DE">
        <w:rPr>
          <w:sz w:val="22"/>
          <w:szCs w:val="22"/>
        </w:rPr>
        <w:t xml:space="preserve"> (see Appendix 1)</w:t>
      </w:r>
      <w:r>
        <w:rPr>
          <w:sz w:val="22"/>
          <w:szCs w:val="22"/>
        </w:rPr>
        <w:t>, or transferred in;</w:t>
      </w:r>
    </w:p>
    <w:p w14:paraId="59B77AFD" w14:textId="27F34133" w:rsidR="00B57B1F" w:rsidRDefault="00B57B1F" w:rsidP="00C20124">
      <w:pPr>
        <w:pStyle w:val="ListParagraph"/>
        <w:numPr>
          <w:ilvl w:val="1"/>
          <w:numId w:val="18"/>
        </w:numPr>
        <w:tabs>
          <w:tab w:val="left" w:leader="dot" w:pos="2520"/>
        </w:tabs>
        <w:rPr>
          <w:sz w:val="22"/>
          <w:szCs w:val="22"/>
        </w:rPr>
      </w:pPr>
      <w:r>
        <w:rPr>
          <w:sz w:val="22"/>
          <w:szCs w:val="22"/>
        </w:rPr>
        <w:t xml:space="preserve">Residency instruction of at least 15 credits </w:t>
      </w:r>
      <w:r w:rsidR="00AC303C">
        <w:rPr>
          <w:sz w:val="22"/>
          <w:szCs w:val="22"/>
        </w:rPr>
        <w:t>from</w:t>
      </w:r>
      <w:r>
        <w:rPr>
          <w:sz w:val="22"/>
          <w:szCs w:val="22"/>
        </w:rPr>
        <w:t xml:space="preserve"> the degree granting campus;</w:t>
      </w:r>
    </w:p>
    <w:p w14:paraId="742E3B94" w14:textId="3684F249" w:rsidR="00B57B1F" w:rsidRDefault="00B57B1F" w:rsidP="00C20124">
      <w:pPr>
        <w:pStyle w:val="ListParagraph"/>
        <w:numPr>
          <w:ilvl w:val="1"/>
          <w:numId w:val="18"/>
        </w:numPr>
        <w:tabs>
          <w:tab w:val="left" w:leader="dot" w:pos="2520"/>
        </w:tabs>
        <w:rPr>
          <w:sz w:val="22"/>
          <w:szCs w:val="22"/>
        </w:rPr>
      </w:pPr>
      <w:r>
        <w:rPr>
          <w:sz w:val="22"/>
          <w:szCs w:val="22"/>
        </w:rPr>
        <w:t>Cumulative GPA of 2.0 or higher for courses taken at the degree granting campus;</w:t>
      </w:r>
    </w:p>
    <w:p w14:paraId="0147B204" w14:textId="254FA227" w:rsidR="00B57B1F" w:rsidRDefault="00B57B1F" w:rsidP="00C20124">
      <w:pPr>
        <w:pStyle w:val="ListParagraph"/>
        <w:numPr>
          <w:ilvl w:val="1"/>
          <w:numId w:val="18"/>
        </w:numPr>
        <w:tabs>
          <w:tab w:val="left" w:leader="dot" w:pos="2520"/>
        </w:tabs>
        <w:rPr>
          <w:sz w:val="22"/>
          <w:szCs w:val="22"/>
        </w:rPr>
      </w:pPr>
      <w:r>
        <w:rPr>
          <w:sz w:val="22"/>
          <w:szCs w:val="22"/>
        </w:rPr>
        <w:t>At least 15 credits in courses designated between 200 and 499.</w:t>
      </w:r>
    </w:p>
    <w:p w14:paraId="5AA36580" w14:textId="77777777" w:rsidR="00B57B1F" w:rsidRPr="00B57B1F" w:rsidRDefault="00B57B1F" w:rsidP="00C20124">
      <w:pPr>
        <w:pStyle w:val="ListParagraph"/>
        <w:tabs>
          <w:tab w:val="left" w:leader="dot" w:pos="2520"/>
        </w:tabs>
        <w:ind w:left="1440"/>
        <w:rPr>
          <w:sz w:val="22"/>
          <w:szCs w:val="22"/>
        </w:rPr>
      </w:pPr>
    </w:p>
    <w:p w14:paraId="7B0C89FB" w14:textId="6A08C7B0" w:rsidR="00B57B1F" w:rsidRPr="00B57B1F" w:rsidRDefault="00B57B1F" w:rsidP="00B57B1F">
      <w:pPr>
        <w:pStyle w:val="ListParagraph"/>
        <w:numPr>
          <w:ilvl w:val="0"/>
          <w:numId w:val="21"/>
        </w:numPr>
        <w:rPr>
          <w:sz w:val="22"/>
          <w:szCs w:val="22"/>
          <w:u w:val="single"/>
        </w:rPr>
      </w:pPr>
      <w:r w:rsidRPr="00B57B1F">
        <w:rPr>
          <w:sz w:val="22"/>
          <w:szCs w:val="22"/>
          <w:u w:val="single"/>
        </w:rPr>
        <w:t>Degree Eligibility and Identification of Students</w:t>
      </w:r>
    </w:p>
    <w:p w14:paraId="04FFF28D" w14:textId="165C511A" w:rsidR="00B57B1F" w:rsidRDefault="00B57B1F" w:rsidP="00B57B1F">
      <w:pPr>
        <w:pStyle w:val="ListParagraph"/>
        <w:rPr>
          <w:sz w:val="22"/>
          <w:szCs w:val="22"/>
        </w:rPr>
      </w:pPr>
      <w:r>
        <w:rPr>
          <w:sz w:val="22"/>
          <w:szCs w:val="22"/>
        </w:rPr>
        <w:t xml:space="preserve">There are two basic pathways for students to be assessed for </w:t>
      </w:r>
      <w:r w:rsidR="008A1FBE">
        <w:rPr>
          <w:sz w:val="22"/>
          <w:szCs w:val="22"/>
        </w:rPr>
        <w:t>eligibility to be awarded the Associates in Liberal Studies</w:t>
      </w:r>
      <w:r>
        <w:rPr>
          <w:sz w:val="22"/>
          <w:szCs w:val="22"/>
        </w:rPr>
        <w:t>:</w:t>
      </w:r>
    </w:p>
    <w:p w14:paraId="6DE19B2D" w14:textId="7FDE8868" w:rsidR="00B57B1F" w:rsidRDefault="002D4BA6" w:rsidP="00C20124">
      <w:pPr>
        <w:pStyle w:val="ListParagraph"/>
        <w:numPr>
          <w:ilvl w:val="0"/>
          <w:numId w:val="24"/>
        </w:numPr>
        <w:tabs>
          <w:tab w:val="left" w:leader="dot" w:pos="2520"/>
        </w:tabs>
        <w:rPr>
          <w:sz w:val="22"/>
          <w:szCs w:val="22"/>
        </w:rPr>
      </w:pPr>
      <w:r>
        <w:rPr>
          <w:sz w:val="22"/>
          <w:szCs w:val="22"/>
        </w:rPr>
        <w:t>A student indicating their intent to stop-out (such as to an advisor</w:t>
      </w:r>
      <w:r w:rsidR="00096E87">
        <w:rPr>
          <w:sz w:val="22"/>
          <w:szCs w:val="22"/>
        </w:rPr>
        <w:t xml:space="preserve">, </w:t>
      </w:r>
      <w:r>
        <w:rPr>
          <w:sz w:val="22"/>
          <w:szCs w:val="22"/>
        </w:rPr>
        <w:t xml:space="preserve">faculty </w:t>
      </w:r>
      <w:r w:rsidR="00096E87">
        <w:rPr>
          <w:sz w:val="22"/>
          <w:szCs w:val="22"/>
        </w:rPr>
        <w:t>member, Registrar, etc.</w:t>
      </w:r>
      <w:r>
        <w:rPr>
          <w:sz w:val="22"/>
          <w:szCs w:val="22"/>
        </w:rPr>
        <w:t>) is to be referred to the degree-</w:t>
      </w:r>
      <w:r w:rsidR="008A1FBE">
        <w:rPr>
          <w:sz w:val="22"/>
          <w:szCs w:val="22"/>
        </w:rPr>
        <w:t xml:space="preserve">granting unit for the Associates </w:t>
      </w:r>
      <w:r>
        <w:rPr>
          <w:sz w:val="22"/>
          <w:szCs w:val="22"/>
        </w:rPr>
        <w:t xml:space="preserve">in Liberal Studies on that campus where their transcript will be </w:t>
      </w:r>
      <w:r w:rsidR="008A1FBE">
        <w:rPr>
          <w:sz w:val="22"/>
          <w:szCs w:val="22"/>
        </w:rPr>
        <w:t>assessed</w:t>
      </w:r>
      <w:r>
        <w:rPr>
          <w:sz w:val="22"/>
          <w:szCs w:val="22"/>
        </w:rPr>
        <w:t xml:space="preserve"> for eligibility.</w:t>
      </w:r>
    </w:p>
    <w:p w14:paraId="1868E99E" w14:textId="2174EBBA" w:rsidR="002D4BA6" w:rsidRDefault="002D4BA6" w:rsidP="00C20124">
      <w:pPr>
        <w:pStyle w:val="ListParagraph"/>
        <w:numPr>
          <w:ilvl w:val="0"/>
          <w:numId w:val="24"/>
        </w:numPr>
        <w:tabs>
          <w:tab w:val="left" w:leader="dot" w:pos="2520"/>
        </w:tabs>
        <w:rPr>
          <w:sz w:val="22"/>
          <w:szCs w:val="22"/>
        </w:rPr>
      </w:pPr>
      <w:r>
        <w:rPr>
          <w:sz w:val="22"/>
          <w:szCs w:val="22"/>
        </w:rPr>
        <w:t>Students who depart without notice, may be assessed for eligibility upon being identified as non-returning students in good standing with Indiana University (in similar fashion to the Reverse Transfer Associate Degree).</w:t>
      </w:r>
    </w:p>
    <w:p w14:paraId="0601DE73" w14:textId="77777777" w:rsidR="005D276D" w:rsidRDefault="002D4BA6" w:rsidP="005D276D">
      <w:pPr>
        <w:pStyle w:val="ListParagraph"/>
        <w:numPr>
          <w:ilvl w:val="2"/>
          <w:numId w:val="24"/>
        </w:numPr>
        <w:tabs>
          <w:tab w:val="left" w:leader="dot" w:pos="2520"/>
        </w:tabs>
        <w:ind w:left="2070"/>
        <w:rPr>
          <w:sz w:val="22"/>
          <w:szCs w:val="22"/>
        </w:rPr>
      </w:pPr>
      <w:r w:rsidRPr="005D276D">
        <w:rPr>
          <w:sz w:val="22"/>
          <w:szCs w:val="22"/>
        </w:rPr>
        <w:t>Students assessed as having met the criteria would be sent notification of their eligibility to apply for the degree.</w:t>
      </w:r>
    </w:p>
    <w:p w14:paraId="021493B6" w14:textId="5E8F1BE5" w:rsidR="002D4BA6" w:rsidRPr="005D276D" w:rsidRDefault="002D4BA6" w:rsidP="005D276D">
      <w:pPr>
        <w:pStyle w:val="ListParagraph"/>
        <w:numPr>
          <w:ilvl w:val="2"/>
          <w:numId w:val="24"/>
        </w:numPr>
        <w:tabs>
          <w:tab w:val="left" w:leader="dot" w:pos="2520"/>
        </w:tabs>
        <w:ind w:left="2070"/>
        <w:rPr>
          <w:sz w:val="22"/>
          <w:szCs w:val="22"/>
        </w:rPr>
      </w:pPr>
      <w:r w:rsidRPr="005D276D">
        <w:rPr>
          <w:sz w:val="22"/>
          <w:szCs w:val="22"/>
        </w:rPr>
        <w:t>Students satisfying the 60-credit, residency, and GPA minima, would be sent an invitation to discuss their status with an advisor</w:t>
      </w:r>
      <w:r w:rsidR="00793EC2">
        <w:rPr>
          <w:sz w:val="22"/>
          <w:szCs w:val="22"/>
        </w:rPr>
        <w:t>,</w:t>
      </w:r>
      <w:r w:rsidRPr="005D276D">
        <w:rPr>
          <w:sz w:val="22"/>
          <w:szCs w:val="22"/>
        </w:rPr>
        <w:t xml:space="preserve"> a</w:t>
      </w:r>
      <w:r w:rsidR="00F31540" w:rsidRPr="005D276D">
        <w:rPr>
          <w:sz w:val="22"/>
          <w:szCs w:val="22"/>
        </w:rPr>
        <w:t>nd, if necessary,</w:t>
      </w:r>
      <w:r w:rsidRPr="005D276D">
        <w:rPr>
          <w:sz w:val="22"/>
          <w:szCs w:val="22"/>
        </w:rPr>
        <w:t xml:space="preserve"> whether they are interested in completing any missing requirements.</w:t>
      </w:r>
      <w:r w:rsidR="00F31540" w:rsidRPr="005D276D">
        <w:rPr>
          <w:sz w:val="22"/>
          <w:szCs w:val="22"/>
        </w:rPr>
        <w:br/>
      </w:r>
    </w:p>
    <w:p w14:paraId="00D3F644" w14:textId="77777777" w:rsidR="00096E87" w:rsidRPr="00096E87" w:rsidRDefault="002D4BA6" w:rsidP="00B57B1F">
      <w:pPr>
        <w:pStyle w:val="ListParagraph"/>
        <w:numPr>
          <w:ilvl w:val="0"/>
          <w:numId w:val="21"/>
        </w:numPr>
        <w:rPr>
          <w:sz w:val="22"/>
          <w:szCs w:val="22"/>
          <w:u w:val="single"/>
        </w:rPr>
      </w:pPr>
      <w:r w:rsidRPr="00096E87">
        <w:rPr>
          <w:sz w:val="22"/>
          <w:szCs w:val="22"/>
          <w:u w:val="single"/>
        </w:rPr>
        <w:t>Associate Degree Students Returning for Baccalaureate Completion</w:t>
      </w:r>
    </w:p>
    <w:p w14:paraId="11825887" w14:textId="7857F56E" w:rsidR="00B57B1F" w:rsidRDefault="008A1FBE" w:rsidP="00096E87">
      <w:pPr>
        <w:pStyle w:val="ListParagraph"/>
        <w:rPr>
          <w:sz w:val="22"/>
          <w:szCs w:val="22"/>
        </w:rPr>
      </w:pPr>
      <w:r>
        <w:rPr>
          <w:sz w:val="22"/>
          <w:szCs w:val="22"/>
        </w:rPr>
        <w:t>Should Associates in Liberal Studies graduates</w:t>
      </w:r>
      <w:r w:rsidR="00B57B1F" w:rsidRPr="00B57B1F">
        <w:rPr>
          <w:sz w:val="22"/>
          <w:szCs w:val="22"/>
        </w:rPr>
        <w:t xml:space="preserve"> decide to </w:t>
      </w:r>
      <w:r w:rsidR="00F31540">
        <w:rPr>
          <w:sz w:val="22"/>
          <w:szCs w:val="22"/>
        </w:rPr>
        <w:t>re-enroll or transfer, they</w:t>
      </w:r>
      <w:r w:rsidR="00B57B1F" w:rsidRPr="00B57B1F">
        <w:rPr>
          <w:sz w:val="22"/>
          <w:szCs w:val="22"/>
        </w:rPr>
        <w:t xml:space="preserve"> will </w:t>
      </w:r>
      <w:r w:rsidR="00F31540">
        <w:rPr>
          <w:sz w:val="22"/>
          <w:szCs w:val="22"/>
        </w:rPr>
        <w:t>be held</w:t>
      </w:r>
      <w:r w:rsidR="00B57B1F" w:rsidRPr="00B57B1F">
        <w:rPr>
          <w:sz w:val="22"/>
          <w:szCs w:val="22"/>
        </w:rPr>
        <w:t xml:space="preserve"> to the normal baccalaureate degree requirements</w:t>
      </w:r>
      <w:r w:rsidR="00793EC2">
        <w:rPr>
          <w:sz w:val="22"/>
          <w:szCs w:val="22"/>
        </w:rPr>
        <w:t xml:space="preserve"> in the same manner as any other degree-holding transfer student</w:t>
      </w:r>
      <w:r w:rsidR="00B57B1F" w:rsidRPr="00B57B1F">
        <w:rPr>
          <w:sz w:val="22"/>
          <w:szCs w:val="22"/>
        </w:rPr>
        <w:t>. Any course articulations and equivalencies, as well as the Statewide Transfer General Education Core milestone, will be processed via standard campus practices</w:t>
      </w:r>
      <w:r w:rsidR="00F31540">
        <w:rPr>
          <w:sz w:val="22"/>
          <w:szCs w:val="22"/>
        </w:rPr>
        <w:t xml:space="preserve"> for applicability toward the baccalaureate degree requirements</w:t>
      </w:r>
      <w:r w:rsidR="00B57B1F" w:rsidRPr="00B57B1F">
        <w:rPr>
          <w:sz w:val="22"/>
          <w:szCs w:val="22"/>
        </w:rPr>
        <w:t>.</w:t>
      </w:r>
      <w:r w:rsidR="00C20124">
        <w:rPr>
          <w:sz w:val="22"/>
          <w:szCs w:val="22"/>
        </w:rPr>
        <w:br/>
      </w:r>
    </w:p>
    <w:p w14:paraId="202E1018" w14:textId="565B41B3" w:rsidR="00C20124" w:rsidRDefault="00C20124" w:rsidP="00C20124">
      <w:pPr>
        <w:pStyle w:val="ListParagraph"/>
        <w:numPr>
          <w:ilvl w:val="0"/>
          <w:numId w:val="21"/>
        </w:numPr>
        <w:tabs>
          <w:tab w:val="left" w:pos="1906"/>
        </w:tabs>
        <w:rPr>
          <w:sz w:val="22"/>
          <w:szCs w:val="22"/>
        </w:rPr>
      </w:pPr>
      <w:r w:rsidRPr="00C20124">
        <w:rPr>
          <w:sz w:val="22"/>
          <w:szCs w:val="22"/>
          <w:u w:val="single"/>
        </w:rPr>
        <w:t>Program Cost</w:t>
      </w:r>
      <w:r w:rsidRPr="00C20124">
        <w:rPr>
          <w:sz w:val="22"/>
          <w:szCs w:val="22"/>
          <w:u w:val="single"/>
        </w:rPr>
        <w:br/>
      </w:r>
      <w:r w:rsidRPr="00C20124">
        <w:rPr>
          <w:sz w:val="22"/>
          <w:szCs w:val="22"/>
        </w:rPr>
        <w:t xml:space="preserve">The degree program uses existing courses taught by existing faculty. Since students </w:t>
      </w:r>
      <w:r w:rsidR="008A1FBE">
        <w:rPr>
          <w:sz w:val="22"/>
          <w:szCs w:val="22"/>
        </w:rPr>
        <w:t>awarded</w:t>
      </w:r>
      <w:r w:rsidRPr="00C20124">
        <w:rPr>
          <w:sz w:val="22"/>
          <w:szCs w:val="22"/>
        </w:rPr>
        <w:t xml:space="preserve"> the </w:t>
      </w:r>
      <w:r w:rsidR="008A1FBE">
        <w:rPr>
          <w:sz w:val="22"/>
          <w:szCs w:val="22"/>
        </w:rPr>
        <w:t xml:space="preserve">Associates </w:t>
      </w:r>
      <w:r>
        <w:rPr>
          <w:sz w:val="22"/>
          <w:szCs w:val="22"/>
        </w:rPr>
        <w:t>in Liberal Studies</w:t>
      </w:r>
      <w:r w:rsidRPr="00C20124">
        <w:rPr>
          <w:sz w:val="22"/>
          <w:szCs w:val="22"/>
        </w:rPr>
        <w:t xml:space="preserve"> were originally pursui</w:t>
      </w:r>
      <w:r>
        <w:rPr>
          <w:sz w:val="22"/>
          <w:szCs w:val="22"/>
        </w:rPr>
        <w:t>ng some other degree program</w:t>
      </w:r>
      <w:r w:rsidRPr="00C20124">
        <w:rPr>
          <w:sz w:val="22"/>
          <w:szCs w:val="22"/>
        </w:rPr>
        <w:t xml:space="preserve">, the instructional costs are already built into </w:t>
      </w:r>
      <w:r w:rsidR="00C3229B">
        <w:rPr>
          <w:sz w:val="22"/>
          <w:szCs w:val="22"/>
        </w:rPr>
        <w:t>campus/</w:t>
      </w:r>
      <w:r w:rsidRPr="00C20124">
        <w:rPr>
          <w:sz w:val="22"/>
          <w:szCs w:val="22"/>
        </w:rPr>
        <w:t>unit budgets. The only costs of implementing th</w:t>
      </w:r>
      <w:r w:rsidR="008A1FBE">
        <w:rPr>
          <w:sz w:val="22"/>
          <w:szCs w:val="22"/>
        </w:rPr>
        <w:t>e degree will be administrative</w:t>
      </w:r>
      <w:r w:rsidRPr="00C20124">
        <w:rPr>
          <w:sz w:val="22"/>
          <w:szCs w:val="22"/>
        </w:rPr>
        <w:t xml:space="preserve"> </w:t>
      </w:r>
      <w:r w:rsidR="00C3229B">
        <w:rPr>
          <w:sz w:val="22"/>
          <w:szCs w:val="22"/>
        </w:rPr>
        <w:t>and</w:t>
      </w:r>
      <w:r w:rsidRPr="00C20124">
        <w:rPr>
          <w:sz w:val="22"/>
          <w:szCs w:val="22"/>
        </w:rPr>
        <w:t xml:space="preserve"> minimal. The</w:t>
      </w:r>
      <w:r w:rsidR="008A1FBE">
        <w:rPr>
          <w:sz w:val="22"/>
          <w:szCs w:val="22"/>
        </w:rPr>
        <w:t>se</w:t>
      </w:r>
      <w:r w:rsidRPr="00C20124">
        <w:rPr>
          <w:sz w:val="22"/>
          <w:szCs w:val="22"/>
        </w:rPr>
        <w:t xml:space="preserve"> costs include maintaining the requirements, programming the Academic Advisement Report</w:t>
      </w:r>
      <w:r w:rsidR="008A1FBE">
        <w:rPr>
          <w:sz w:val="22"/>
          <w:szCs w:val="22"/>
        </w:rPr>
        <w:t xml:space="preserve"> and Degree Audit</w:t>
      </w:r>
      <w:r w:rsidRPr="00C20124">
        <w:rPr>
          <w:sz w:val="22"/>
          <w:szCs w:val="22"/>
        </w:rPr>
        <w:t xml:space="preserve">, and recording functions to maintain the student record and award the degree. Academic advising will also be a cost, but this can be absorbed by </w:t>
      </w:r>
      <w:r w:rsidR="00793EC2">
        <w:rPr>
          <w:sz w:val="22"/>
          <w:szCs w:val="22"/>
        </w:rPr>
        <w:t>each</w:t>
      </w:r>
      <w:r w:rsidRPr="00C20124">
        <w:rPr>
          <w:sz w:val="22"/>
          <w:szCs w:val="22"/>
        </w:rPr>
        <w:t xml:space="preserve"> campus as a whole. </w:t>
      </w:r>
      <w:r w:rsidR="008A1FBE">
        <w:rPr>
          <w:sz w:val="22"/>
          <w:szCs w:val="22"/>
        </w:rPr>
        <w:t>Since</w:t>
      </w:r>
      <w:r w:rsidRPr="00C20124">
        <w:rPr>
          <w:sz w:val="22"/>
          <w:szCs w:val="22"/>
        </w:rPr>
        <w:t xml:space="preserve"> the </w:t>
      </w:r>
      <w:r w:rsidR="008A1FBE">
        <w:rPr>
          <w:sz w:val="22"/>
          <w:szCs w:val="22"/>
        </w:rPr>
        <w:t xml:space="preserve">degree </w:t>
      </w:r>
      <w:r w:rsidRPr="00C20124">
        <w:rPr>
          <w:sz w:val="22"/>
          <w:szCs w:val="22"/>
        </w:rPr>
        <w:t>requirements are straight-forward, any academic advisor should be able to speak to the requirements, making a dedicated academic advisor for the degree program unnecessary.</w:t>
      </w:r>
      <w:r w:rsidR="008A1FBE">
        <w:rPr>
          <w:sz w:val="22"/>
          <w:szCs w:val="22"/>
        </w:rPr>
        <w:br/>
      </w:r>
    </w:p>
    <w:p w14:paraId="0258A1CE" w14:textId="0F807BFE" w:rsidR="008A1FBE" w:rsidRPr="008A1FBE" w:rsidRDefault="008A1FBE" w:rsidP="008A1FBE">
      <w:pPr>
        <w:pStyle w:val="ListParagraph"/>
        <w:numPr>
          <w:ilvl w:val="0"/>
          <w:numId w:val="21"/>
        </w:numPr>
        <w:tabs>
          <w:tab w:val="left" w:pos="1906"/>
        </w:tabs>
        <w:rPr>
          <w:sz w:val="22"/>
          <w:szCs w:val="22"/>
        </w:rPr>
      </w:pPr>
      <w:r>
        <w:rPr>
          <w:sz w:val="22"/>
          <w:szCs w:val="22"/>
          <w:u w:val="single"/>
        </w:rPr>
        <w:t>Implementation</w:t>
      </w:r>
      <w:r>
        <w:rPr>
          <w:sz w:val="22"/>
          <w:szCs w:val="22"/>
          <w:u w:val="single"/>
        </w:rPr>
        <w:br/>
      </w:r>
      <w:r>
        <w:rPr>
          <w:sz w:val="22"/>
          <w:szCs w:val="22"/>
        </w:rPr>
        <w:t>The Associates in Liberal Studies (ALS) degree is expected to be available across all campuses by the end of the Fall semester of 2019.</w:t>
      </w:r>
    </w:p>
    <w:p w14:paraId="04FEF64E" w14:textId="77777777" w:rsidR="00C20124" w:rsidRDefault="00C20124" w:rsidP="00B57B1F"/>
    <w:p w14:paraId="1303C510" w14:textId="77777777" w:rsidR="00FD00B9" w:rsidRDefault="00FD00B9">
      <w:r>
        <w:br w:type="page"/>
      </w:r>
    </w:p>
    <w:p w14:paraId="40609BB3" w14:textId="7737B7F7" w:rsidR="00B85BBF" w:rsidRPr="00FD00B9" w:rsidRDefault="007D40DE" w:rsidP="00B57B1F">
      <w:pPr>
        <w:rPr>
          <w:b/>
        </w:rPr>
      </w:pPr>
      <w:r>
        <w:rPr>
          <w:b/>
        </w:rPr>
        <w:t xml:space="preserve">APPENDIX 1: </w:t>
      </w:r>
      <w:r w:rsidR="00B85BBF" w:rsidRPr="00FD00B9">
        <w:rPr>
          <w:b/>
        </w:rPr>
        <w:t>Curriculum Detail – Credit Hour Requirements, By Campus</w:t>
      </w:r>
    </w:p>
    <w:p w14:paraId="396E0AF4" w14:textId="0E044309" w:rsidR="006B56A8" w:rsidRDefault="006B56A8" w:rsidP="00B57B1F">
      <w:r>
        <w:t xml:space="preserve">[The following summary information </w:t>
      </w:r>
      <w:r w:rsidR="00855B2E">
        <w:t>uses</w:t>
      </w:r>
      <w:r>
        <w:t xml:space="preserve"> the Academic Advisement Reports currently in </w:t>
      </w:r>
      <w:r w:rsidR="00855B2E">
        <w:t>effect</w:t>
      </w:r>
      <w:r>
        <w:t xml:space="preserve"> </w:t>
      </w:r>
      <w:r w:rsidR="00FD00B9">
        <w:t xml:space="preserve">for each campus </w:t>
      </w:r>
      <w:r>
        <w:t xml:space="preserve">(Spring 2019) </w:t>
      </w:r>
      <w:r w:rsidR="00855B2E">
        <w:t>for certification of</w:t>
      </w:r>
      <w:r>
        <w:t xml:space="preserve"> </w:t>
      </w:r>
      <w:r w:rsidR="00FD00B9">
        <w:t>the</w:t>
      </w:r>
      <w:r>
        <w:t xml:space="preserve"> STGEC milestone.]</w:t>
      </w:r>
    </w:p>
    <w:p w14:paraId="55420335" w14:textId="77777777" w:rsidR="00B85BBF" w:rsidRDefault="00B85BBF" w:rsidP="00B57B1F"/>
    <w:tbl>
      <w:tblPr>
        <w:tblStyle w:val="TableGrid"/>
        <w:tblW w:w="0" w:type="auto"/>
        <w:tblLook w:val="04A0" w:firstRow="1" w:lastRow="0" w:firstColumn="1" w:lastColumn="0" w:noHBand="0" w:noVBand="1"/>
      </w:tblPr>
      <w:tblGrid>
        <w:gridCol w:w="1755"/>
        <w:gridCol w:w="1087"/>
        <w:gridCol w:w="1223"/>
        <w:gridCol w:w="1038"/>
        <w:gridCol w:w="1057"/>
        <w:gridCol w:w="1021"/>
        <w:gridCol w:w="1086"/>
        <w:gridCol w:w="1083"/>
      </w:tblGrid>
      <w:tr w:rsidR="00855B2E" w:rsidRPr="00FD00B9" w14:paraId="2A8DB539" w14:textId="77777777" w:rsidTr="00855B2E">
        <w:tc>
          <w:tcPr>
            <w:tcW w:w="1755" w:type="dxa"/>
          </w:tcPr>
          <w:p w14:paraId="7CFF85EB" w14:textId="77777777" w:rsidR="00B85BBF" w:rsidRPr="00FD00B9" w:rsidRDefault="00B85BBF" w:rsidP="00FD00B9">
            <w:pPr>
              <w:jc w:val="center"/>
              <w:rPr>
                <w:b/>
                <w:sz w:val="20"/>
              </w:rPr>
            </w:pPr>
          </w:p>
        </w:tc>
        <w:tc>
          <w:tcPr>
            <w:tcW w:w="1087" w:type="dxa"/>
          </w:tcPr>
          <w:p w14:paraId="71C190AA" w14:textId="49A82AA9" w:rsidR="00B85BBF" w:rsidRPr="00FD00B9" w:rsidRDefault="00B85BBF" w:rsidP="00FD00B9">
            <w:pPr>
              <w:jc w:val="center"/>
              <w:rPr>
                <w:b/>
              </w:rPr>
            </w:pPr>
            <w:r w:rsidRPr="00FD00B9">
              <w:rPr>
                <w:b/>
              </w:rPr>
              <w:t>IUB</w:t>
            </w:r>
          </w:p>
        </w:tc>
        <w:tc>
          <w:tcPr>
            <w:tcW w:w="1223" w:type="dxa"/>
          </w:tcPr>
          <w:p w14:paraId="29D7B32F" w14:textId="5379650B" w:rsidR="00B85BBF" w:rsidRPr="00FD00B9" w:rsidRDefault="00B85BBF" w:rsidP="00FD00B9">
            <w:pPr>
              <w:jc w:val="center"/>
              <w:rPr>
                <w:b/>
              </w:rPr>
            </w:pPr>
            <w:r w:rsidRPr="00FD00B9">
              <w:rPr>
                <w:b/>
              </w:rPr>
              <w:t>IUPUI</w:t>
            </w:r>
          </w:p>
        </w:tc>
        <w:tc>
          <w:tcPr>
            <w:tcW w:w="1038" w:type="dxa"/>
          </w:tcPr>
          <w:p w14:paraId="5301DB6E" w14:textId="7326340E" w:rsidR="00B85BBF" w:rsidRPr="00FD00B9" w:rsidRDefault="00B85BBF" w:rsidP="00FD00B9">
            <w:pPr>
              <w:jc w:val="center"/>
              <w:rPr>
                <w:b/>
              </w:rPr>
            </w:pPr>
            <w:r w:rsidRPr="00FD00B9">
              <w:rPr>
                <w:b/>
              </w:rPr>
              <w:t>IUE</w:t>
            </w:r>
          </w:p>
        </w:tc>
        <w:tc>
          <w:tcPr>
            <w:tcW w:w="1057" w:type="dxa"/>
          </w:tcPr>
          <w:p w14:paraId="094BDE23" w14:textId="1BA7EDDB" w:rsidR="00B85BBF" w:rsidRPr="00FD00B9" w:rsidRDefault="00B85BBF" w:rsidP="00FD00B9">
            <w:pPr>
              <w:jc w:val="center"/>
              <w:rPr>
                <w:b/>
              </w:rPr>
            </w:pPr>
            <w:r w:rsidRPr="00FD00B9">
              <w:rPr>
                <w:b/>
              </w:rPr>
              <w:t>IUK</w:t>
            </w:r>
          </w:p>
        </w:tc>
        <w:tc>
          <w:tcPr>
            <w:tcW w:w="1021" w:type="dxa"/>
          </w:tcPr>
          <w:p w14:paraId="3E9589A8" w14:textId="145CAC46" w:rsidR="00B85BBF" w:rsidRPr="00FD00B9" w:rsidRDefault="00B85BBF" w:rsidP="00FD00B9">
            <w:pPr>
              <w:jc w:val="center"/>
              <w:rPr>
                <w:b/>
              </w:rPr>
            </w:pPr>
            <w:r w:rsidRPr="00FD00B9">
              <w:rPr>
                <w:b/>
              </w:rPr>
              <w:t>IUN</w:t>
            </w:r>
          </w:p>
        </w:tc>
        <w:tc>
          <w:tcPr>
            <w:tcW w:w="1086" w:type="dxa"/>
          </w:tcPr>
          <w:p w14:paraId="09CEBA91" w14:textId="4249B85F" w:rsidR="00B85BBF" w:rsidRPr="00FD00B9" w:rsidRDefault="00B85BBF" w:rsidP="00FD00B9">
            <w:pPr>
              <w:jc w:val="center"/>
              <w:rPr>
                <w:b/>
              </w:rPr>
            </w:pPr>
            <w:r w:rsidRPr="00FD00B9">
              <w:rPr>
                <w:b/>
              </w:rPr>
              <w:t>IUSB</w:t>
            </w:r>
          </w:p>
        </w:tc>
        <w:tc>
          <w:tcPr>
            <w:tcW w:w="1083" w:type="dxa"/>
          </w:tcPr>
          <w:p w14:paraId="5AD7F98E" w14:textId="2132DE2B" w:rsidR="00B85BBF" w:rsidRPr="00FD00B9" w:rsidRDefault="00B85BBF" w:rsidP="00FD00B9">
            <w:pPr>
              <w:jc w:val="center"/>
              <w:rPr>
                <w:b/>
              </w:rPr>
            </w:pPr>
            <w:r w:rsidRPr="00FD00B9">
              <w:rPr>
                <w:b/>
              </w:rPr>
              <w:t>IUS</w:t>
            </w:r>
          </w:p>
        </w:tc>
      </w:tr>
      <w:tr w:rsidR="00855B2E" w14:paraId="55476E8C" w14:textId="77777777" w:rsidTr="00855B2E">
        <w:tc>
          <w:tcPr>
            <w:tcW w:w="1755" w:type="dxa"/>
          </w:tcPr>
          <w:p w14:paraId="46A519AE" w14:textId="706DF785" w:rsidR="00855B2E" w:rsidRPr="00855B2E" w:rsidRDefault="00855B2E" w:rsidP="00B85BBF">
            <w:pPr>
              <w:rPr>
                <w:b/>
                <w:sz w:val="20"/>
              </w:rPr>
            </w:pPr>
            <w:r w:rsidRPr="00855B2E">
              <w:rPr>
                <w:b/>
                <w:sz w:val="20"/>
              </w:rPr>
              <w:t>STGEC Core:</w:t>
            </w:r>
          </w:p>
        </w:tc>
        <w:tc>
          <w:tcPr>
            <w:tcW w:w="1087" w:type="dxa"/>
          </w:tcPr>
          <w:p w14:paraId="46D6FA2F" w14:textId="77777777" w:rsidR="00855B2E" w:rsidRDefault="00855B2E" w:rsidP="00FD00B9">
            <w:pPr>
              <w:jc w:val="center"/>
            </w:pPr>
          </w:p>
        </w:tc>
        <w:tc>
          <w:tcPr>
            <w:tcW w:w="1223" w:type="dxa"/>
          </w:tcPr>
          <w:p w14:paraId="4048ABF9" w14:textId="77777777" w:rsidR="00855B2E" w:rsidRDefault="00855B2E" w:rsidP="00FD00B9">
            <w:pPr>
              <w:jc w:val="center"/>
            </w:pPr>
          </w:p>
        </w:tc>
        <w:tc>
          <w:tcPr>
            <w:tcW w:w="1038" w:type="dxa"/>
          </w:tcPr>
          <w:p w14:paraId="3EFA5390" w14:textId="77777777" w:rsidR="00855B2E" w:rsidRDefault="00855B2E" w:rsidP="00FD00B9">
            <w:pPr>
              <w:jc w:val="center"/>
            </w:pPr>
          </w:p>
        </w:tc>
        <w:tc>
          <w:tcPr>
            <w:tcW w:w="1057" w:type="dxa"/>
          </w:tcPr>
          <w:p w14:paraId="24648891" w14:textId="77777777" w:rsidR="00855B2E" w:rsidRDefault="00855B2E" w:rsidP="00FD00B9">
            <w:pPr>
              <w:jc w:val="center"/>
            </w:pPr>
          </w:p>
        </w:tc>
        <w:tc>
          <w:tcPr>
            <w:tcW w:w="1021" w:type="dxa"/>
          </w:tcPr>
          <w:p w14:paraId="3FD7E091" w14:textId="77777777" w:rsidR="00855B2E" w:rsidRDefault="00855B2E" w:rsidP="00FD00B9">
            <w:pPr>
              <w:jc w:val="center"/>
            </w:pPr>
          </w:p>
        </w:tc>
        <w:tc>
          <w:tcPr>
            <w:tcW w:w="1086" w:type="dxa"/>
          </w:tcPr>
          <w:p w14:paraId="57CEF5DD" w14:textId="77777777" w:rsidR="00855B2E" w:rsidRDefault="00855B2E" w:rsidP="00FD00B9">
            <w:pPr>
              <w:jc w:val="center"/>
            </w:pPr>
          </w:p>
        </w:tc>
        <w:tc>
          <w:tcPr>
            <w:tcW w:w="1083" w:type="dxa"/>
          </w:tcPr>
          <w:p w14:paraId="39BAFB4C" w14:textId="77777777" w:rsidR="00855B2E" w:rsidRDefault="00855B2E" w:rsidP="00FD00B9">
            <w:pPr>
              <w:jc w:val="center"/>
            </w:pPr>
          </w:p>
        </w:tc>
      </w:tr>
      <w:tr w:rsidR="00855B2E" w14:paraId="25E4A72A" w14:textId="77777777" w:rsidTr="00855B2E">
        <w:tc>
          <w:tcPr>
            <w:tcW w:w="1755" w:type="dxa"/>
          </w:tcPr>
          <w:p w14:paraId="196E101F" w14:textId="3E7A2F1B" w:rsidR="00B85BBF" w:rsidRPr="00FD00B9" w:rsidRDefault="00B85BBF" w:rsidP="00855B2E">
            <w:pPr>
              <w:ind w:left="247"/>
              <w:rPr>
                <w:sz w:val="20"/>
              </w:rPr>
            </w:pPr>
            <w:r w:rsidRPr="00FD00B9">
              <w:rPr>
                <w:sz w:val="20"/>
              </w:rPr>
              <w:t>Written Communication</w:t>
            </w:r>
          </w:p>
        </w:tc>
        <w:tc>
          <w:tcPr>
            <w:tcW w:w="1087" w:type="dxa"/>
          </w:tcPr>
          <w:p w14:paraId="2E6D2285" w14:textId="20BCCB84" w:rsidR="00B85BBF" w:rsidRDefault="00B85BBF" w:rsidP="00FD00B9">
            <w:pPr>
              <w:jc w:val="center"/>
            </w:pPr>
            <w:r>
              <w:t>3</w:t>
            </w:r>
          </w:p>
        </w:tc>
        <w:tc>
          <w:tcPr>
            <w:tcW w:w="1223" w:type="dxa"/>
          </w:tcPr>
          <w:p w14:paraId="2BD21711" w14:textId="0F699D90" w:rsidR="00B85BBF" w:rsidRDefault="00B85BBF" w:rsidP="00FD00B9">
            <w:pPr>
              <w:jc w:val="center"/>
            </w:pPr>
            <w:r>
              <w:t>3</w:t>
            </w:r>
          </w:p>
        </w:tc>
        <w:tc>
          <w:tcPr>
            <w:tcW w:w="1038" w:type="dxa"/>
          </w:tcPr>
          <w:p w14:paraId="35CBBD58" w14:textId="1C7F2723" w:rsidR="00B85BBF" w:rsidRDefault="00B85BBF" w:rsidP="00FD00B9">
            <w:pPr>
              <w:jc w:val="center"/>
            </w:pPr>
            <w:r>
              <w:t>6</w:t>
            </w:r>
          </w:p>
          <w:p w14:paraId="550D30D2" w14:textId="77777777" w:rsidR="00B85BBF" w:rsidRPr="00B85BBF" w:rsidRDefault="00B85BBF" w:rsidP="00FD00B9">
            <w:pPr>
              <w:jc w:val="center"/>
            </w:pPr>
          </w:p>
        </w:tc>
        <w:tc>
          <w:tcPr>
            <w:tcW w:w="1057" w:type="dxa"/>
          </w:tcPr>
          <w:p w14:paraId="26E78A9E" w14:textId="77777777" w:rsidR="00B85BBF" w:rsidRDefault="00B85BBF" w:rsidP="00FD00B9">
            <w:pPr>
              <w:jc w:val="center"/>
            </w:pPr>
            <w:r>
              <w:t>6</w:t>
            </w:r>
          </w:p>
          <w:p w14:paraId="0EDBE8A7" w14:textId="77777777" w:rsidR="00B85BBF" w:rsidRPr="00B85BBF" w:rsidRDefault="00B85BBF" w:rsidP="00FD00B9">
            <w:pPr>
              <w:jc w:val="center"/>
            </w:pPr>
          </w:p>
        </w:tc>
        <w:tc>
          <w:tcPr>
            <w:tcW w:w="1021" w:type="dxa"/>
          </w:tcPr>
          <w:p w14:paraId="7AD0C85E" w14:textId="09DF3628" w:rsidR="00B85BBF" w:rsidRDefault="00B85BBF" w:rsidP="00FD00B9">
            <w:pPr>
              <w:jc w:val="center"/>
            </w:pPr>
            <w:r>
              <w:t>3</w:t>
            </w:r>
          </w:p>
        </w:tc>
        <w:tc>
          <w:tcPr>
            <w:tcW w:w="1086" w:type="dxa"/>
          </w:tcPr>
          <w:p w14:paraId="36A3C6BE" w14:textId="32C9BEAF" w:rsidR="00B85BBF" w:rsidRDefault="00B85BBF" w:rsidP="00FD00B9">
            <w:pPr>
              <w:jc w:val="center"/>
            </w:pPr>
            <w:r>
              <w:t>3</w:t>
            </w:r>
          </w:p>
        </w:tc>
        <w:tc>
          <w:tcPr>
            <w:tcW w:w="1083" w:type="dxa"/>
          </w:tcPr>
          <w:p w14:paraId="27C8E2FD" w14:textId="77777777" w:rsidR="00B85BBF" w:rsidRDefault="00B85BBF" w:rsidP="00FD00B9">
            <w:pPr>
              <w:jc w:val="center"/>
            </w:pPr>
            <w:r>
              <w:t>6</w:t>
            </w:r>
          </w:p>
          <w:p w14:paraId="726D866D" w14:textId="77777777" w:rsidR="00B85BBF" w:rsidRPr="00B85BBF" w:rsidRDefault="00B85BBF" w:rsidP="00FD00B9">
            <w:pPr>
              <w:jc w:val="center"/>
            </w:pPr>
          </w:p>
        </w:tc>
      </w:tr>
      <w:tr w:rsidR="00855B2E" w14:paraId="177D93CF" w14:textId="77777777" w:rsidTr="00855B2E">
        <w:tc>
          <w:tcPr>
            <w:tcW w:w="1755" w:type="dxa"/>
          </w:tcPr>
          <w:p w14:paraId="4FEDC3F5" w14:textId="45BDABEB" w:rsidR="00B85BBF" w:rsidRPr="00FD00B9" w:rsidRDefault="00B85BBF" w:rsidP="00855B2E">
            <w:pPr>
              <w:ind w:left="247"/>
              <w:rPr>
                <w:sz w:val="20"/>
              </w:rPr>
            </w:pPr>
            <w:r w:rsidRPr="00FD00B9">
              <w:rPr>
                <w:sz w:val="20"/>
              </w:rPr>
              <w:t>Speaking and Listening</w:t>
            </w:r>
          </w:p>
        </w:tc>
        <w:tc>
          <w:tcPr>
            <w:tcW w:w="1087" w:type="dxa"/>
          </w:tcPr>
          <w:p w14:paraId="6F8375B4" w14:textId="05D83AA8" w:rsidR="00B85BBF" w:rsidRDefault="00B85BBF" w:rsidP="00FD00B9">
            <w:pPr>
              <w:jc w:val="center"/>
            </w:pPr>
            <w:r>
              <w:t>3</w:t>
            </w:r>
          </w:p>
        </w:tc>
        <w:tc>
          <w:tcPr>
            <w:tcW w:w="1223" w:type="dxa"/>
          </w:tcPr>
          <w:p w14:paraId="21476338" w14:textId="61CE5D73" w:rsidR="00B85BBF" w:rsidRDefault="00B85BBF" w:rsidP="00FD00B9">
            <w:pPr>
              <w:jc w:val="center"/>
            </w:pPr>
            <w:r>
              <w:t>3</w:t>
            </w:r>
          </w:p>
        </w:tc>
        <w:tc>
          <w:tcPr>
            <w:tcW w:w="1038" w:type="dxa"/>
          </w:tcPr>
          <w:p w14:paraId="4AB61351" w14:textId="7A884FF6" w:rsidR="00B85BBF" w:rsidRDefault="00B85BBF" w:rsidP="00FD00B9">
            <w:pPr>
              <w:jc w:val="center"/>
            </w:pPr>
            <w:r>
              <w:t>3</w:t>
            </w:r>
          </w:p>
        </w:tc>
        <w:tc>
          <w:tcPr>
            <w:tcW w:w="1057" w:type="dxa"/>
          </w:tcPr>
          <w:p w14:paraId="460FD834" w14:textId="3BEAA0F1" w:rsidR="00B85BBF" w:rsidRDefault="00B85BBF" w:rsidP="00FD00B9">
            <w:pPr>
              <w:jc w:val="center"/>
            </w:pPr>
            <w:r>
              <w:t>3</w:t>
            </w:r>
          </w:p>
        </w:tc>
        <w:tc>
          <w:tcPr>
            <w:tcW w:w="1021" w:type="dxa"/>
          </w:tcPr>
          <w:p w14:paraId="68E60B32" w14:textId="532D54F4" w:rsidR="00B85BBF" w:rsidRDefault="00B85BBF" w:rsidP="00FD00B9">
            <w:pPr>
              <w:jc w:val="center"/>
            </w:pPr>
            <w:r>
              <w:t>3</w:t>
            </w:r>
          </w:p>
        </w:tc>
        <w:tc>
          <w:tcPr>
            <w:tcW w:w="1086" w:type="dxa"/>
          </w:tcPr>
          <w:p w14:paraId="5C4861DE" w14:textId="00A502A4" w:rsidR="00B85BBF" w:rsidRDefault="00B85BBF" w:rsidP="00FD00B9">
            <w:pPr>
              <w:jc w:val="center"/>
            </w:pPr>
            <w:r>
              <w:t>3</w:t>
            </w:r>
          </w:p>
        </w:tc>
        <w:tc>
          <w:tcPr>
            <w:tcW w:w="1083" w:type="dxa"/>
          </w:tcPr>
          <w:p w14:paraId="5FDF6048" w14:textId="5CA263AA" w:rsidR="00B85BBF" w:rsidRDefault="00B85BBF" w:rsidP="00FD00B9">
            <w:pPr>
              <w:jc w:val="center"/>
            </w:pPr>
            <w:r>
              <w:t>3</w:t>
            </w:r>
          </w:p>
        </w:tc>
      </w:tr>
      <w:tr w:rsidR="00855B2E" w14:paraId="2D25B880" w14:textId="77777777" w:rsidTr="00855B2E">
        <w:tc>
          <w:tcPr>
            <w:tcW w:w="1755" w:type="dxa"/>
          </w:tcPr>
          <w:p w14:paraId="479C2405" w14:textId="187920ED" w:rsidR="00B85BBF" w:rsidRPr="00FD00B9" w:rsidRDefault="00B85BBF" w:rsidP="00855B2E">
            <w:pPr>
              <w:ind w:left="247"/>
              <w:rPr>
                <w:sz w:val="20"/>
              </w:rPr>
            </w:pPr>
            <w:r w:rsidRPr="00FD00B9">
              <w:rPr>
                <w:sz w:val="20"/>
              </w:rPr>
              <w:t>Quantitative Reasoning</w:t>
            </w:r>
          </w:p>
        </w:tc>
        <w:tc>
          <w:tcPr>
            <w:tcW w:w="1087" w:type="dxa"/>
          </w:tcPr>
          <w:p w14:paraId="4C1EBA05" w14:textId="534EFF3E" w:rsidR="00B85BBF" w:rsidRDefault="00B85BBF" w:rsidP="00FD00B9">
            <w:pPr>
              <w:jc w:val="center"/>
            </w:pPr>
            <w:r>
              <w:t>3</w:t>
            </w:r>
          </w:p>
        </w:tc>
        <w:tc>
          <w:tcPr>
            <w:tcW w:w="1223" w:type="dxa"/>
          </w:tcPr>
          <w:p w14:paraId="51D3225D" w14:textId="44E3F133" w:rsidR="00B85BBF" w:rsidRDefault="00B85BBF" w:rsidP="00FD00B9">
            <w:pPr>
              <w:jc w:val="center"/>
            </w:pPr>
            <w:r>
              <w:t>3</w:t>
            </w:r>
          </w:p>
        </w:tc>
        <w:tc>
          <w:tcPr>
            <w:tcW w:w="1038" w:type="dxa"/>
          </w:tcPr>
          <w:p w14:paraId="2BDA2DBE" w14:textId="5A709C42" w:rsidR="00B85BBF" w:rsidRDefault="00B85BBF" w:rsidP="00FD00B9">
            <w:pPr>
              <w:jc w:val="center"/>
            </w:pPr>
            <w:r>
              <w:t>3</w:t>
            </w:r>
          </w:p>
        </w:tc>
        <w:tc>
          <w:tcPr>
            <w:tcW w:w="1057" w:type="dxa"/>
          </w:tcPr>
          <w:p w14:paraId="6C199156" w14:textId="332D2182" w:rsidR="00B85BBF" w:rsidRDefault="00B85BBF" w:rsidP="00FD00B9">
            <w:pPr>
              <w:jc w:val="center"/>
            </w:pPr>
            <w:r>
              <w:t>3</w:t>
            </w:r>
          </w:p>
        </w:tc>
        <w:tc>
          <w:tcPr>
            <w:tcW w:w="1021" w:type="dxa"/>
          </w:tcPr>
          <w:p w14:paraId="2BE97CBD" w14:textId="0D20E5DE" w:rsidR="00B85BBF" w:rsidRDefault="00B85BBF" w:rsidP="00FD00B9">
            <w:pPr>
              <w:jc w:val="center"/>
            </w:pPr>
            <w:r>
              <w:t>3</w:t>
            </w:r>
          </w:p>
        </w:tc>
        <w:tc>
          <w:tcPr>
            <w:tcW w:w="1086" w:type="dxa"/>
          </w:tcPr>
          <w:p w14:paraId="37633919" w14:textId="5562F07E" w:rsidR="00B85BBF" w:rsidRDefault="00B85BBF" w:rsidP="00FD00B9">
            <w:pPr>
              <w:jc w:val="center"/>
            </w:pPr>
            <w:r>
              <w:t>3</w:t>
            </w:r>
          </w:p>
        </w:tc>
        <w:tc>
          <w:tcPr>
            <w:tcW w:w="1083" w:type="dxa"/>
          </w:tcPr>
          <w:p w14:paraId="74925722" w14:textId="5CD657EF" w:rsidR="00B85BBF" w:rsidRDefault="00B85BBF" w:rsidP="00FD00B9">
            <w:pPr>
              <w:jc w:val="center"/>
            </w:pPr>
            <w:r>
              <w:t>3</w:t>
            </w:r>
          </w:p>
        </w:tc>
      </w:tr>
      <w:tr w:rsidR="00855B2E" w14:paraId="72C4EE2F" w14:textId="77777777" w:rsidTr="00855B2E">
        <w:tc>
          <w:tcPr>
            <w:tcW w:w="1755" w:type="dxa"/>
          </w:tcPr>
          <w:p w14:paraId="1B23D7CD" w14:textId="79F0F3AB" w:rsidR="00B85BBF" w:rsidRPr="00FD00B9" w:rsidRDefault="00B85BBF" w:rsidP="00855B2E">
            <w:pPr>
              <w:ind w:left="247"/>
              <w:rPr>
                <w:sz w:val="20"/>
              </w:rPr>
            </w:pPr>
            <w:r w:rsidRPr="00FD00B9">
              <w:rPr>
                <w:sz w:val="20"/>
              </w:rPr>
              <w:t>Scientific Ways of Knowing</w:t>
            </w:r>
          </w:p>
        </w:tc>
        <w:tc>
          <w:tcPr>
            <w:tcW w:w="1087" w:type="dxa"/>
          </w:tcPr>
          <w:p w14:paraId="578BAB5C" w14:textId="54CF74C6" w:rsidR="00B85BBF" w:rsidRPr="00B85BBF" w:rsidRDefault="00B85BBF" w:rsidP="00FD00B9">
            <w:pPr>
              <w:tabs>
                <w:tab w:val="left" w:pos="507"/>
              </w:tabs>
              <w:jc w:val="center"/>
            </w:pPr>
            <w:r>
              <w:t>5</w:t>
            </w:r>
            <w:r w:rsidR="006B56A8">
              <w:t>-6</w:t>
            </w:r>
          </w:p>
        </w:tc>
        <w:tc>
          <w:tcPr>
            <w:tcW w:w="1223" w:type="dxa"/>
          </w:tcPr>
          <w:p w14:paraId="1A2DC4A6" w14:textId="4E1D1A35" w:rsidR="00B85BBF" w:rsidRDefault="00B85BBF" w:rsidP="00FD00B9">
            <w:pPr>
              <w:jc w:val="center"/>
            </w:pPr>
            <w:r>
              <w:t>6</w:t>
            </w:r>
          </w:p>
        </w:tc>
        <w:tc>
          <w:tcPr>
            <w:tcW w:w="1038" w:type="dxa"/>
          </w:tcPr>
          <w:p w14:paraId="68DDDE2F" w14:textId="5DE6D1BE" w:rsidR="00B85BBF" w:rsidRDefault="00B85BBF" w:rsidP="00FD00B9">
            <w:pPr>
              <w:jc w:val="center"/>
            </w:pPr>
            <w:r>
              <w:t>6</w:t>
            </w:r>
            <w:r w:rsidRPr="00B85BBF">
              <w:rPr>
                <w:sz w:val="16"/>
              </w:rPr>
              <w:br/>
              <w:t xml:space="preserve">(Lab </w:t>
            </w:r>
            <w:r w:rsidR="00855B2E">
              <w:rPr>
                <w:sz w:val="16"/>
              </w:rPr>
              <w:t>Req’</w:t>
            </w:r>
            <w:r w:rsidRPr="00B85BBF">
              <w:rPr>
                <w:sz w:val="16"/>
              </w:rPr>
              <w:t>d)</w:t>
            </w:r>
          </w:p>
        </w:tc>
        <w:tc>
          <w:tcPr>
            <w:tcW w:w="1057" w:type="dxa"/>
          </w:tcPr>
          <w:p w14:paraId="22A18EA9" w14:textId="68A5FD4E" w:rsidR="00B85BBF" w:rsidRDefault="00B85BBF" w:rsidP="00FD00B9">
            <w:pPr>
              <w:jc w:val="center"/>
            </w:pPr>
            <w:r>
              <w:t>6</w:t>
            </w:r>
          </w:p>
        </w:tc>
        <w:tc>
          <w:tcPr>
            <w:tcW w:w="1021" w:type="dxa"/>
          </w:tcPr>
          <w:p w14:paraId="2AEABE37" w14:textId="2EA2D826" w:rsidR="00B85BBF" w:rsidRDefault="00B85BBF" w:rsidP="00FD00B9">
            <w:pPr>
              <w:jc w:val="center"/>
            </w:pPr>
            <w:r>
              <w:t>3-6</w:t>
            </w:r>
          </w:p>
        </w:tc>
        <w:tc>
          <w:tcPr>
            <w:tcW w:w="1086" w:type="dxa"/>
          </w:tcPr>
          <w:p w14:paraId="0A900F23" w14:textId="302B2A60" w:rsidR="00B85BBF" w:rsidRDefault="00B85BBF" w:rsidP="00FD00B9">
            <w:pPr>
              <w:jc w:val="center"/>
            </w:pPr>
            <w:r>
              <w:t>3</w:t>
            </w:r>
          </w:p>
        </w:tc>
        <w:tc>
          <w:tcPr>
            <w:tcW w:w="1083" w:type="dxa"/>
          </w:tcPr>
          <w:p w14:paraId="53A16C4F" w14:textId="0D803436" w:rsidR="00B85BBF" w:rsidRDefault="00B85BBF" w:rsidP="00FD00B9">
            <w:pPr>
              <w:jc w:val="center"/>
            </w:pPr>
            <w:r>
              <w:t>5</w:t>
            </w:r>
            <w:r w:rsidRPr="00B85BBF">
              <w:rPr>
                <w:sz w:val="16"/>
              </w:rPr>
              <w:br/>
            </w:r>
            <w:r w:rsidR="00855B2E">
              <w:rPr>
                <w:sz w:val="16"/>
              </w:rPr>
              <w:t>(Lab Req’</w:t>
            </w:r>
            <w:r w:rsidRPr="00B85BBF">
              <w:rPr>
                <w:sz w:val="16"/>
              </w:rPr>
              <w:t>d)</w:t>
            </w:r>
          </w:p>
        </w:tc>
      </w:tr>
      <w:tr w:rsidR="00855B2E" w14:paraId="15D5DC55" w14:textId="77777777" w:rsidTr="00855B2E">
        <w:tc>
          <w:tcPr>
            <w:tcW w:w="1755" w:type="dxa"/>
          </w:tcPr>
          <w:p w14:paraId="07F278F7" w14:textId="2BC0E394" w:rsidR="00B85BBF" w:rsidRPr="00FD00B9" w:rsidRDefault="00B85BBF" w:rsidP="00855B2E">
            <w:pPr>
              <w:ind w:left="247"/>
              <w:rPr>
                <w:sz w:val="20"/>
              </w:rPr>
            </w:pPr>
            <w:r w:rsidRPr="00FD00B9">
              <w:rPr>
                <w:sz w:val="20"/>
              </w:rPr>
              <w:t>Humanistic and Artistic Ways of Knowing</w:t>
            </w:r>
          </w:p>
        </w:tc>
        <w:tc>
          <w:tcPr>
            <w:tcW w:w="1087" w:type="dxa"/>
          </w:tcPr>
          <w:p w14:paraId="7C1740D1" w14:textId="344AA55E" w:rsidR="00B85BBF" w:rsidRDefault="00B85BBF" w:rsidP="00FD00B9">
            <w:pPr>
              <w:tabs>
                <w:tab w:val="left" w:pos="507"/>
              </w:tabs>
              <w:jc w:val="center"/>
            </w:pPr>
            <w:r>
              <w:t>6</w:t>
            </w:r>
          </w:p>
        </w:tc>
        <w:tc>
          <w:tcPr>
            <w:tcW w:w="1223" w:type="dxa"/>
          </w:tcPr>
          <w:p w14:paraId="231E8EC2" w14:textId="130A37F6" w:rsidR="00B85BBF" w:rsidRDefault="00B85BBF" w:rsidP="00FD00B9">
            <w:pPr>
              <w:jc w:val="center"/>
            </w:pPr>
            <w:r>
              <w:t>3-6</w:t>
            </w:r>
          </w:p>
        </w:tc>
        <w:tc>
          <w:tcPr>
            <w:tcW w:w="1038" w:type="dxa"/>
          </w:tcPr>
          <w:p w14:paraId="665773A1" w14:textId="5E28EF66" w:rsidR="00B85BBF" w:rsidRDefault="00B85BBF" w:rsidP="00FD00B9">
            <w:pPr>
              <w:jc w:val="center"/>
            </w:pPr>
            <w:r>
              <w:t>6</w:t>
            </w:r>
          </w:p>
        </w:tc>
        <w:tc>
          <w:tcPr>
            <w:tcW w:w="1057" w:type="dxa"/>
          </w:tcPr>
          <w:p w14:paraId="43FBC872" w14:textId="1A35166A" w:rsidR="00B85BBF" w:rsidRDefault="00B85BBF" w:rsidP="00FD00B9">
            <w:pPr>
              <w:jc w:val="center"/>
            </w:pPr>
            <w:r>
              <w:t>6</w:t>
            </w:r>
          </w:p>
        </w:tc>
        <w:tc>
          <w:tcPr>
            <w:tcW w:w="1021" w:type="dxa"/>
          </w:tcPr>
          <w:p w14:paraId="2D4598E7" w14:textId="3A37B008" w:rsidR="00B85BBF" w:rsidRDefault="00B85BBF" w:rsidP="00FD00B9">
            <w:pPr>
              <w:jc w:val="center"/>
            </w:pPr>
            <w:r>
              <w:t>6-9</w:t>
            </w:r>
          </w:p>
        </w:tc>
        <w:tc>
          <w:tcPr>
            <w:tcW w:w="1086" w:type="dxa"/>
          </w:tcPr>
          <w:p w14:paraId="6207A770" w14:textId="4008EB71" w:rsidR="00B85BBF" w:rsidRDefault="00B85BBF" w:rsidP="00FD00B9">
            <w:pPr>
              <w:jc w:val="center"/>
            </w:pPr>
            <w:r>
              <w:t>6</w:t>
            </w:r>
          </w:p>
        </w:tc>
        <w:tc>
          <w:tcPr>
            <w:tcW w:w="1083" w:type="dxa"/>
          </w:tcPr>
          <w:p w14:paraId="5AAF6581" w14:textId="3EE7ED14" w:rsidR="00B85BBF" w:rsidRDefault="00B85BBF" w:rsidP="00FD00B9">
            <w:pPr>
              <w:jc w:val="center"/>
            </w:pPr>
            <w:r>
              <w:t>3-6</w:t>
            </w:r>
          </w:p>
        </w:tc>
      </w:tr>
      <w:tr w:rsidR="00855B2E" w14:paraId="7E787E2B" w14:textId="77777777" w:rsidTr="00855B2E">
        <w:tc>
          <w:tcPr>
            <w:tcW w:w="1755" w:type="dxa"/>
          </w:tcPr>
          <w:p w14:paraId="487273E2" w14:textId="21E7735E" w:rsidR="00B85BBF" w:rsidRPr="00FD00B9" w:rsidRDefault="00B85BBF" w:rsidP="00855B2E">
            <w:pPr>
              <w:ind w:left="247"/>
              <w:rPr>
                <w:sz w:val="20"/>
              </w:rPr>
            </w:pPr>
            <w:r w:rsidRPr="00FD00B9">
              <w:rPr>
                <w:sz w:val="20"/>
              </w:rPr>
              <w:t>Social and Behavioral Ways of Knowing</w:t>
            </w:r>
          </w:p>
        </w:tc>
        <w:tc>
          <w:tcPr>
            <w:tcW w:w="1087" w:type="dxa"/>
          </w:tcPr>
          <w:p w14:paraId="69D4781F" w14:textId="55B76ECA" w:rsidR="00B85BBF" w:rsidRDefault="00B85BBF" w:rsidP="00FD00B9">
            <w:pPr>
              <w:jc w:val="center"/>
            </w:pPr>
            <w:r>
              <w:t>6</w:t>
            </w:r>
          </w:p>
        </w:tc>
        <w:tc>
          <w:tcPr>
            <w:tcW w:w="1223" w:type="dxa"/>
          </w:tcPr>
          <w:p w14:paraId="171120FE" w14:textId="74550827" w:rsidR="00B85BBF" w:rsidRDefault="00B85BBF" w:rsidP="00FD00B9">
            <w:pPr>
              <w:jc w:val="center"/>
            </w:pPr>
            <w:r>
              <w:t>3-6</w:t>
            </w:r>
          </w:p>
        </w:tc>
        <w:tc>
          <w:tcPr>
            <w:tcW w:w="1038" w:type="dxa"/>
          </w:tcPr>
          <w:p w14:paraId="072B810D" w14:textId="524FF29A" w:rsidR="00B85BBF" w:rsidRDefault="00B85BBF" w:rsidP="00FD00B9">
            <w:pPr>
              <w:jc w:val="center"/>
            </w:pPr>
            <w:r>
              <w:t>6</w:t>
            </w:r>
          </w:p>
        </w:tc>
        <w:tc>
          <w:tcPr>
            <w:tcW w:w="1057" w:type="dxa"/>
          </w:tcPr>
          <w:p w14:paraId="2B027BDB" w14:textId="003F926C" w:rsidR="00B85BBF" w:rsidRDefault="00B85BBF" w:rsidP="00FD00B9">
            <w:pPr>
              <w:jc w:val="center"/>
            </w:pPr>
            <w:r>
              <w:t>6</w:t>
            </w:r>
          </w:p>
        </w:tc>
        <w:tc>
          <w:tcPr>
            <w:tcW w:w="1021" w:type="dxa"/>
          </w:tcPr>
          <w:p w14:paraId="195659E0" w14:textId="4004A7FF" w:rsidR="00B85BBF" w:rsidRDefault="00B85BBF" w:rsidP="00FD00B9">
            <w:pPr>
              <w:jc w:val="center"/>
            </w:pPr>
            <w:r>
              <w:t>6-9</w:t>
            </w:r>
          </w:p>
        </w:tc>
        <w:tc>
          <w:tcPr>
            <w:tcW w:w="1086" w:type="dxa"/>
          </w:tcPr>
          <w:p w14:paraId="20C2ADA2" w14:textId="59CACDD9" w:rsidR="00B85BBF" w:rsidRDefault="00B85BBF" w:rsidP="00FD00B9">
            <w:pPr>
              <w:jc w:val="center"/>
            </w:pPr>
            <w:r>
              <w:t>6</w:t>
            </w:r>
          </w:p>
        </w:tc>
        <w:tc>
          <w:tcPr>
            <w:tcW w:w="1083" w:type="dxa"/>
          </w:tcPr>
          <w:p w14:paraId="678BEFB9" w14:textId="6CC8AF22" w:rsidR="00B85BBF" w:rsidRDefault="00B85BBF" w:rsidP="00FD00B9">
            <w:pPr>
              <w:jc w:val="center"/>
            </w:pPr>
            <w:r>
              <w:t>3-6</w:t>
            </w:r>
          </w:p>
        </w:tc>
      </w:tr>
      <w:tr w:rsidR="00855B2E" w14:paraId="188F39C6" w14:textId="77777777" w:rsidTr="00855B2E">
        <w:tc>
          <w:tcPr>
            <w:tcW w:w="1755" w:type="dxa"/>
          </w:tcPr>
          <w:p w14:paraId="6F8D4263" w14:textId="6F418BD3" w:rsidR="002D3853" w:rsidRPr="00855B2E" w:rsidRDefault="002D3853" w:rsidP="002D3853">
            <w:pPr>
              <w:rPr>
                <w:b/>
                <w:sz w:val="20"/>
              </w:rPr>
            </w:pPr>
            <w:r w:rsidRPr="00855B2E">
              <w:rPr>
                <w:b/>
                <w:sz w:val="20"/>
              </w:rPr>
              <w:t>STGEC Campus-Defined Requirements</w:t>
            </w:r>
          </w:p>
        </w:tc>
        <w:tc>
          <w:tcPr>
            <w:tcW w:w="1087" w:type="dxa"/>
          </w:tcPr>
          <w:p w14:paraId="1938B918" w14:textId="4C9A9133" w:rsidR="002D3853" w:rsidRPr="00B85BBF" w:rsidRDefault="002D3853" w:rsidP="00FD00B9">
            <w:pPr>
              <w:jc w:val="center"/>
              <w:rPr>
                <w:sz w:val="16"/>
              </w:rPr>
            </w:pPr>
            <w:r>
              <w:t>6</w:t>
            </w:r>
            <w:r>
              <w:rPr>
                <w:sz w:val="16"/>
              </w:rPr>
              <w:br/>
              <w:t>(World Languages and Cultures)</w:t>
            </w:r>
          </w:p>
        </w:tc>
        <w:tc>
          <w:tcPr>
            <w:tcW w:w="1223" w:type="dxa"/>
          </w:tcPr>
          <w:p w14:paraId="5F58D58B" w14:textId="6EF46E5B" w:rsidR="002D3853" w:rsidRDefault="002D3853" w:rsidP="00FD00B9">
            <w:pPr>
              <w:jc w:val="center"/>
              <w:rPr>
                <w:sz w:val="16"/>
              </w:rPr>
            </w:pPr>
            <w:r>
              <w:t>6</w:t>
            </w:r>
            <w:r>
              <w:rPr>
                <w:sz w:val="16"/>
              </w:rPr>
              <w:br/>
              <w:t>(3 credits in Cultural Understanding;</w:t>
            </w:r>
          </w:p>
          <w:p w14:paraId="30217B34" w14:textId="58F90B09" w:rsidR="002D3853" w:rsidRPr="00B85BBF" w:rsidRDefault="002D3853" w:rsidP="00FD00B9">
            <w:pPr>
              <w:jc w:val="center"/>
              <w:rPr>
                <w:sz w:val="16"/>
              </w:rPr>
            </w:pPr>
            <w:r>
              <w:rPr>
                <w:sz w:val="16"/>
              </w:rPr>
              <w:t>3 credits in Analytical Reasoning)</w:t>
            </w:r>
          </w:p>
        </w:tc>
        <w:tc>
          <w:tcPr>
            <w:tcW w:w="1038" w:type="dxa"/>
          </w:tcPr>
          <w:p w14:paraId="0F80372F" w14:textId="77777777" w:rsidR="002D3853" w:rsidRDefault="002D3853" w:rsidP="00FD00B9">
            <w:pPr>
              <w:jc w:val="center"/>
            </w:pPr>
          </w:p>
        </w:tc>
        <w:tc>
          <w:tcPr>
            <w:tcW w:w="1057" w:type="dxa"/>
          </w:tcPr>
          <w:p w14:paraId="44D1CFE1" w14:textId="5BA834E2" w:rsidR="002D3853" w:rsidRDefault="002D3853" w:rsidP="00FD00B9">
            <w:pPr>
              <w:jc w:val="center"/>
            </w:pPr>
            <w:r>
              <w:t>3</w:t>
            </w:r>
            <w:r>
              <w:rPr>
                <w:sz w:val="16"/>
              </w:rPr>
              <w:br/>
              <w:t>(Analytical Reasoning)</w:t>
            </w:r>
          </w:p>
        </w:tc>
        <w:tc>
          <w:tcPr>
            <w:tcW w:w="1021" w:type="dxa"/>
          </w:tcPr>
          <w:p w14:paraId="4020C15B" w14:textId="77777777" w:rsidR="002D3853" w:rsidRDefault="002D3853" w:rsidP="00FD00B9">
            <w:pPr>
              <w:jc w:val="center"/>
            </w:pPr>
          </w:p>
        </w:tc>
        <w:tc>
          <w:tcPr>
            <w:tcW w:w="1086" w:type="dxa"/>
          </w:tcPr>
          <w:p w14:paraId="43A69900" w14:textId="7252B0FF" w:rsidR="002D3853" w:rsidRPr="002D3853" w:rsidRDefault="002D3853" w:rsidP="00FD00B9">
            <w:pPr>
              <w:jc w:val="center"/>
              <w:rPr>
                <w:sz w:val="16"/>
              </w:rPr>
            </w:pPr>
            <w:r>
              <w:t>6</w:t>
            </w:r>
            <w:r>
              <w:rPr>
                <w:sz w:val="16"/>
              </w:rPr>
              <w:br/>
              <w:t>(Additional Foundational Skills)</w:t>
            </w:r>
          </w:p>
        </w:tc>
        <w:tc>
          <w:tcPr>
            <w:tcW w:w="1083" w:type="dxa"/>
          </w:tcPr>
          <w:p w14:paraId="69485FC7" w14:textId="738587C2" w:rsidR="002D3853" w:rsidRDefault="002D3853" w:rsidP="00FD00B9">
            <w:pPr>
              <w:jc w:val="center"/>
            </w:pPr>
            <w:r>
              <w:t>1</w:t>
            </w:r>
            <w:r>
              <w:rPr>
                <w:sz w:val="16"/>
              </w:rPr>
              <w:br/>
              <w:t>(Additional Foundational Skills)</w:t>
            </w:r>
          </w:p>
        </w:tc>
      </w:tr>
      <w:tr w:rsidR="00855B2E" w14:paraId="01327642" w14:textId="77777777" w:rsidTr="00855B2E">
        <w:tc>
          <w:tcPr>
            <w:tcW w:w="1755" w:type="dxa"/>
          </w:tcPr>
          <w:p w14:paraId="7E0FA4A7" w14:textId="35BFBAA1" w:rsidR="002D3853" w:rsidRPr="00FD00B9" w:rsidRDefault="002D3853" w:rsidP="008365FA">
            <w:pPr>
              <w:rPr>
                <w:sz w:val="20"/>
              </w:rPr>
            </w:pPr>
            <w:r w:rsidRPr="00FD00B9">
              <w:rPr>
                <w:sz w:val="20"/>
              </w:rPr>
              <w:t xml:space="preserve">STGEC </w:t>
            </w:r>
            <w:r w:rsidR="006B56A8" w:rsidRPr="00FD00B9">
              <w:rPr>
                <w:sz w:val="20"/>
              </w:rPr>
              <w:t xml:space="preserve">Minimum Requirements </w:t>
            </w:r>
            <w:r w:rsidRPr="00FD00B9">
              <w:rPr>
                <w:sz w:val="20"/>
              </w:rPr>
              <w:t>Sub-Total:</w:t>
            </w:r>
          </w:p>
        </w:tc>
        <w:tc>
          <w:tcPr>
            <w:tcW w:w="1087" w:type="dxa"/>
          </w:tcPr>
          <w:p w14:paraId="7199589A" w14:textId="11ACD099" w:rsidR="002D3853" w:rsidRPr="00FD00B9" w:rsidRDefault="006B56A8" w:rsidP="00FD00B9">
            <w:pPr>
              <w:jc w:val="center"/>
              <w:rPr>
                <w:sz w:val="16"/>
              </w:rPr>
            </w:pPr>
            <w:r>
              <w:t>30</w:t>
            </w:r>
            <w:r w:rsidR="00FD00B9">
              <w:rPr>
                <w:sz w:val="16"/>
              </w:rPr>
              <w:t xml:space="preserve"> min.</w:t>
            </w:r>
          </w:p>
          <w:p w14:paraId="392C91CE" w14:textId="27D1D7CB" w:rsidR="00FD00B9" w:rsidRDefault="00FD00B9" w:rsidP="00FD00B9">
            <w:pPr>
              <w:jc w:val="center"/>
            </w:pPr>
            <w:r>
              <w:rPr>
                <w:sz w:val="16"/>
              </w:rPr>
              <w:t>(</w:t>
            </w:r>
            <w:r w:rsidRPr="00FD00B9">
              <w:rPr>
                <w:sz w:val="16"/>
              </w:rPr>
              <w:t>32-33 listed above</w:t>
            </w:r>
            <w:r>
              <w:rPr>
                <w:sz w:val="16"/>
              </w:rPr>
              <w:t>, but it is possible that some courses may fulfill more than one requirement)</w:t>
            </w:r>
          </w:p>
        </w:tc>
        <w:tc>
          <w:tcPr>
            <w:tcW w:w="1223" w:type="dxa"/>
          </w:tcPr>
          <w:p w14:paraId="7DE25E7A" w14:textId="78855AF2" w:rsidR="002D3853" w:rsidRDefault="006B56A8" w:rsidP="00FD00B9">
            <w:pPr>
              <w:jc w:val="center"/>
            </w:pPr>
            <w:r>
              <w:t>30</w:t>
            </w:r>
          </w:p>
        </w:tc>
        <w:tc>
          <w:tcPr>
            <w:tcW w:w="1038" w:type="dxa"/>
          </w:tcPr>
          <w:p w14:paraId="704F7BEF" w14:textId="2EFEF212" w:rsidR="002D3853" w:rsidRDefault="006B56A8" w:rsidP="00FD00B9">
            <w:pPr>
              <w:jc w:val="center"/>
            </w:pPr>
            <w:r>
              <w:t>30</w:t>
            </w:r>
          </w:p>
        </w:tc>
        <w:tc>
          <w:tcPr>
            <w:tcW w:w="1057" w:type="dxa"/>
          </w:tcPr>
          <w:p w14:paraId="71D3B29E" w14:textId="6229CD3C" w:rsidR="00FD00B9" w:rsidRDefault="006B56A8" w:rsidP="00FD00B9">
            <w:pPr>
              <w:jc w:val="center"/>
              <w:rPr>
                <w:sz w:val="16"/>
              </w:rPr>
            </w:pPr>
            <w:r>
              <w:t>30</w:t>
            </w:r>
            <w:r w:rsidR="00FD00B9" w:rsidRPr="00FD00B9">
              <w:rPr>
                <w:sz w:val="16"/>
              </w:rPr>
              <w:t xml:space="preserve"> </w:t>
            </w:r>
            <w:r w:rsidR="00FD00B9">
              <w:rPr>
                <w:sz w:val="16"/>
              </w:rPr>
              <w:t>min.</w:t>
            </w:r>
          </w:p>
          <w:p w14:paraId="3452655A" w14:textId="79A691E4" w:rsidR="002D3853" w:rsidRPr="00FD00B9" w:rsidRDefault="00FD00B9" w:rsidP="00FD00B9">
            <w:pPr>
              <w:jc w:val="center"/>
              <w:rPr>
                <w:sz w:val="16"/>
              </w:rPr>
            </w:pPr>
            <w:r>
              <w:rPr>
                <w:sz w:val="16"/>
              </w:rPr>
              <w:t>(</w:t>
            </w:r>
            <w:r w:rsidRPr="00FD00B9">
              <w:rPr>
                <w:sz w:val="16"/>
              </w:rPr>
              <w:t>33 listed above</w:t>
            </w:r>
            <w:r>
              <w:rPr>
                <w:sz w:val="16"/>
              </w:rPr>
              <w:t>, but Second-level writing will cease to be required for STGEC beginning Fall 2019)</w:t>
            </w:r>
          </w:p>
        </w:tc>
        <w:tc>
          <w:tcPr>
            <w:tcW w:w="1021" w:type="dxa"/>
          </w:tcPr>
          <w:p w14:paraId="58070C54" w14:textId="6B427A33" w:rsidR="002D3853" w:rsidRDefault="006B56A8" w:rsidP="00FD00B9">
            <w:pPr>
              <w:jc w:val="center"/>
            </w:pPr>
            <w:r>
              <w:t>30</w:t>
            </w:r>
          </w:p>
        </w:tc>
        <w:tc>
          <w:tcPr>
            <w:tcW w:w="1086" w:type="dxa"/>
          </w:tcPr>
          <w:p w14:paraId="2170DC2B" w14:textId="7056F920" w:rsidR="002D3853" w:rsidRDefault="006B56A8" w:rsidP="00FD00B9">
            <w:pPr>
              <w:jc w:val="center"/>
            </w:pPr>
            <w:r>
              <w:t>30</w:t>
            </w:r>
          </w:p>
        </w:tc>
        <w:tc>
          <w:tcPr>
            <w:tcW w:w="1083" w:type="dxa"/>
          </w:tcPr>
          <w:p w14:paraId="01BB1572" w14:textId="53A0318B" w:rsidR="002D3853" w:rsidRDefault="006B56A8" w:rsidP="00FD00B9">
            <w:pPr>
              <w:jc w:val="center"/>
            </w:pPr>
            <w:r>
              <w:t>30</w:t>
            </w:r>
          </w:p>
        </w:tc>
      </w:tr>
      <w:tr w:rsidR="00855B2E" w14:paraId="60289C44" w14:textId="77777777" w:rsidTr="00855B2E">
        <w:tc>
          <w:tcPr>
            <w:tcW w:w="1755" w:type="dxa"/>
          </w:tcPr>
          <w:p w14:paraId="07EF6C2B" w14:textId="22E8F094" w:rsidR="002D3853" w:rsidRPr="00FD00B9" w:rsidRDefault="002D3853" w:rsidP="008365FA">
            <w:pPr>
              <w:rPr>
                <w:sz w:val="20"/>
              </w:rPr>
            </w:pPr>
          </w:p>
        </w:tc>
        <w:tc>
          <w:tcPr>
            <w:tcW w:w="1087" w:type="dxa"/>
          </w:tcPr>
          <w:p w14:paraId="07155BDA" w14:textId="77777777" w:rsidR="002D3853" w:rsidRDefault="002D3853" w:rsidP="008365FA"/>
        </w:tc>
        <w:tc>
          <w:tcPr>
            <w:tcW w:w="1223" w:type="dxa"/>
          </w:tcPr>
          <w:p w14:paraId="59715D51" w14:textId="77777777" w:rsidR="002D3853" w:rsidRDefault="002D3853" w:rsidP="008365FA"/>
        </w:tc>
        <w:tc>
          <w:tcPr>
            <w:tcW w:w="1038" w:type="dxa"/>
          </w:tcPr>
          <w:p w14:paraId="6D15D561" w14:textId="77777777" w:rsidR="002D3853" w:rsidRDefault="002D3853" w:rsidP="008365FA"/>
        </w:tc>
        <w:tc>
          <w:tcPr>
            <w:tcW w:w="1057" w:type="dxa"/>
          </w:tcPr>
          <w:p w14:paraId="79A7DE4D" w14:textId="77777777" w:rsidR="002D3853" w:rsidRDefault="002D3853" w:rsidP="008365FA"/>
        </w:tc>
        <w:tc>
          <w:tcPr>
            <w:tcW w:w="1021" w:type="dxa"/>
          </w:tcPr>
          <w:p w14:paraId="380817C0" w14:textId="77777777" w:rsidR="002D3853" w:rsidRDefault="002D3853" w:rsidP="008365FA"/>
        </w:tc>
        <w:tc>
          <w:tcPr>
            <w:tcW w:w="1086" w:type="dxa"/>
          </w:tcPr>
          <w:p w14:paraId="2983EA42" w14:textId="77777777" w:rsidR="002D3853" w:rsidRDefault="002D3853" w:rsidP="008365FA"/>
        </w:tc>
        <w:tc>
          <w:tcPr>
            <w:tcW w:w="1083" w:type="dxa"/>
          </w:tcPr>
          <w:p w14:paraId="44BEA0B8" w14:textId="77777777" w:rsidR="002D3853" w:rsidRDefault="002D3853" w:rsidP="008365FA"/>
        </w:tc>
      </w:tr>
      <w:tr w:rsidR="00855B2E" w14:paraId="5DCE1102" w14:textId="77777777" w:rsidTr="00855B2E">
        <w:tc>
          <w:tcPr>
            <w:tcW w:w="1755" w:type="dxa"/>
          </w:tcPr>
          <w:p w14:paraId="10FFCC59" w14:textId="34ECE85D" w:rsidR="00FD00B9" w:rsidRPr="00855B2E" w:rsidRDefault="00FD00B9" w:rsidP="00FD00B9">
            <w:pPr>
              <w:rPr>
                <w:b/>
                <w:sz w:val="20"/>
              </w:rPr>
            </w:pPr>
            <w:r w:rsidRPr="00855B2E">
              <w:rPr>
                <w:b/>
                <w:sz w:val="20"/>
              </w:rPr>
              <w:t>200-499 level</w:t>
            </w:r>
            <w:r w:rsidR="00855B2E" w:rsidRPr="00855B2E">
              <w:rPr>
                <w:b/>
                <w:sz w:val="20"/>
              </w:rPr>
              <w:t xml:space="preserve"> Courses</w:t>
            </w:r>
          </w:p>
        </w:tc>
        <w:tc>
          <w:tcPr>
            <w:tcW w:w="1087" w:type="dxa"/>
          </w:tcPr>
          <w:p w14:paraId="404F3E89" w14:textId="7EAA4B41" w:rsidR="00FD00B9" w:rsidRDefault="00FD00B9" w:rsidP="00FD00B9">
            <w:pPr>
              <w:jc w:val="center"/>
            </w:pPr>
            <w:r>
              <w:t>15</w:t>
            </w:r>
          </w:p>
        </w:tc>
        <w:tc>
          <w:tcPr>
            <w:tcW w:w="1223" w:type="dxa"/>
          </w:tcPr>
          <w:p w14:paraId="3B1EDD32" w14:textId="778D4AB7" w:rsidR="00FD00B9" w:rsidRDefault="00FD00B9" w:rsidP="00FD00B9">
            <w:pPr>
              <w:jc w:val="center"/>
            </w:pPr>
            <w:r>
              <w:t>15</w:t>
            </w:r>
          </w:p>
        </w:tc>
        <w:tc>
          <w:tcPr>
            <w:tcW w:w="1038" w:type="dxa"/>
          </w:tcPr>
          <w:p w14:paraId="2A188F52" w14:textId="027840C0" w:rsidR="00FD00B9" w:rsidRDefault="00FD00B9" w:rsidP="00FD00B9">
            <w:pPr>
              <w:jc w:val="center"/>
            </w:pPr>
            <w:r>
              <w:t>15</w:t>
            </w:r>
          </w:p>
        </w:tc>
        <w:tc>
          <w:tcPr>
            <w:tcW w:w="1057" w:type="dxa"/>
          </w:tcPr>
          <w:p w14:paraId="0B3F138F" w14:textId="5A58B960" w:rsidR="00FD00B9" w:rsidRDefault="00FD00B9" w:rsidP="00FD00B9">
            <w:pPr>
              <w:jc w:val="center"/>
            </w:pPr>
            <w:r>
              <w:t>15</w:t>
            </w:r>
          </w:p>
        </w:tc>
        <w:tc>
          <w:tcPr>
            <w:tcW w:w="1021" w:type="dxa"/>
          </w:tcPr>
          <w:p w14:paraId="0DDE1577" w14:textId="18CC777D" w:rsidR="00FD00B9" w:rsidRDefault="00FD00B9" w:rsidP="00FD00B9">
            <w:pPr>
              <w:jc w:val="center"/>
            </w:pPr>
            <w:r>
              <w:t>15</w:t>
            </w:r>
          </w:p>
        </w:tc>
        <w:tc>
          <w:tcPr>
            <w:tcW w:w="1086" w:type="dxa"/>
          </w:tcPr>
          <w:p w14:paraId="1BEA38C5" w14:textId="7710B832" w:rsidR="00FD00B9" w:rsidRDefault="00FD00B9" w:rsidP="00FD00B9">
            <w:pPr>
              <w:jc w:val="center"/>
            </w:pPr>
            <w:r>
              <w:t>15</w:t>
            </w:r>
          </w:p>
        </w:tc>
        <w:tc>
          <w:tcPr>
            <w:tcW w:w="1083" w:type="dxa"/>
          </w:tcPr>
          <w:p w14:paraId="03909C6F" w14:textId="5777426F" w:rsidR="00FD00B9" w:rsidRDefault="00FD00B9" w:rsidP="00FD00B9">
            <w:pPr>
              <w:jc w:val="center"/>
            </w:pPr>
            <w:r>
              <w:t>15</w:t>
            </w:r>
          </w:p>
        </w:tc>
      </w:tr>
      <w:tr w:rsidR="00855B2E" w14:paraId="4EA11248" w14:textId="77777777" w:rsidTr="00855B2E">
        <w:tc>
          <w:tcPr>
            <w:tcW w:w="1755" w:type="dxa"/>
          </w:tcPr>
          <w:p w14:paraId="456F6CE4" w14:textId="77777777" w:rsidR="002D3853" w:rsidRPr="00FD00B9" w:rsidRDefault="002D3853" w:rsidP="008365FA">
            <w:pPr>
              <w:rPr>
                <w:sz w:val="20"/>
              </w:rPr>
            </w:pPr>
          </w:p>
        </w:tc>
        <w:tc>
          <w:tcPr>
            <w:tcW w:w="1087" w:type="dxa"/>
          </w:tcPr>
          <w:p w14:paraId="5EB147A2" w14:textId="77777777" w:rsidR="002D3853" w:rsidRDefault="002D3853" w:rsidP="008365FA"/>
        </w:tc>
        <w:tc>
          <w:tcPr>
            <w:tcW w:w="1223" w:type="dxa"/>
          </w:tcPr>
          <w:p w14:paraId="521605C4" w14:textId="77777777" w:rsidR="002D3853" w:rsidRDefault="002D3853" w:rsidP="008365FA"/>
        </w:tc>
        <w:tc>
          <w:tcPr>
            <w:tcW w:w="1038" w:type="dxa"/>
          </w:tcPr>
          <w:p w14:paraId="31E809F8" w14:textId="77777777" w:rsidR="002D3853" w:rsidRDefault="002D3853" w:rsidP="008365FA"/>
        </w:tc>
        <w:tc>
          <w:tcPr>
            <w:tcW w:w="1057" w:type="dxa"/>
          </w:tcPr>
          <w:p w14:paraId="2DD339CC" w14:textId="77777777" w:rsidR="002D3853" w:rsidRDefault="002D3853" w:rsidP="008365FA"/>
        </w:tc>
        <w:tc>
          <w:tcPr>
            <w:tcW w:w="1021" w:type="dxa"/>
          </w:tcPr>
          <w:p w14:paraId="1B5D249F" w14:textId="77777777" w:rsidR="002D3853" w:rsidRDefault="002D3853" w:rsidP="008365FA"/>
        </w:tc>
        <w:tc>
          <w:tcPr>
            <w:tcW w:w="1086" w:type="dxa"/>
          </w:tcPr>
          <w:p w14:paraId="5F52B59C" w14:textId="77777777" w:rsidR="002D3853" w:rsidRDefault="002D3853" w:rsidP="008365FA"/>
        </w:tc>
        <w:tc>
          <w:tcPr>
            <w:tcW w:w="1083" w:type="dxa"/>
          </w:tcPr>
          <w:p w14:paraId="030E1750" w14:textId="77777777" w:rsidR="002D3853" w:rsidRDefault="002D3853" w:rsidP="008365FA"/>
        </w:tc>
      </w:tr>
      <w:tr w:rsidR="00855B2E" w14:paraId="311B293D" w14:textId="77777777" w:rsidTr="00855B2E">
        <w:tc>
          <w:tcPr>
            <w:tcW w:w="1755" w:type="dxa"/>
          </w:tcPr>
          <w:p w14:paraId="1447332C" w14:textId="7F9B1585" w:rsidR="00855B2E" w:rsidRPr="00855B2E" w:rsidRDefault="00855B2E" w:rsidP="00855B2E">
            <w:pPr>
              <w:rPr>
                <w:b/>
                <w:sz w:val="20"/>
              </w:rPr>
            </w:pPr>
            <w:r w:rsidRPr="00855B2E">
              <w:rPr>
                <w:b/>
                <w:sz w:val="20"/>
              </w:rPr>
              <w:t>Other/Elective</w:t>
            </w:r>
          </w:p>
        </w:tc>
        <w:tc>
          <w:tcPr>
            <w:tcW w:w="1087" w:type="dxa"/>
          </w:tcPr>
          <w:p w14:paraId="0A82CF64" w14:textId="28760803" w:rsidR="00855B2E" w:rsidRPr="00855B2E" w:rsidRDefault="00855B2E" w:rsidP="00855B2E">
            <w:pPr>
              <w:rPr>
                <w:sz w:val="16"/>
              </w:rPr>
            </w:pPr>
            <w:r>
              <w:rPr>
                <w:sz w:val="16"/>
              </w:rPr>
              <w:t xml:space="preserve">Major or elective courses </w:t>
            </w:r>
            <w:r w:rsidRPr="00855B2E">
              <w:rPr>
                <w:sz w:val="16"/>
              </w:rPr>
              <w:t>to reach 60 total credits</w:t>
            </w:r>
          </w:p>
        </w:tc>
        <w:tc>
          <w:tcPr>
            <w:tcW w:w="1223" w:type="dxa"/>
          </w:tcPr>
          <w:p w14:paraId="575AEFD7" w14:textId="3C216AB8" w:rsidR="00855B2E" w:rsidRDefault="00855B2E" w:rsidP="00855B2E">
            <w:r>
              <w:rPr>
                <w:sz w:val="16"/>
              </w:rPr>
              <w:t xml:space="preserve">Major or elective courses </w:t>
            </w:r>
            <w:r w:rsidRPr="00855B2E">
              <w:rPr>
                <w:sz w:val="16"/>
              </w:rPr>
              <w:t>to reach 60 total credits</w:t>
            </w:r>
          </w:p>
        </w:tc>
        <w:tc>
          <w:tcPr>
            <w:tcW w:w="1038" w:type="dxa"/>
          </w:tcPr>
          <w:p w14:paraId="56AFF401" w14:textId="6907EE15" w:rsidR="00855B2E" w:rsidRDefault="00855B2E" w:rsidP="00855B2E">
            <w:r>
              <w:rPr>
                <w:sz w:val="16"/>
              </w:rPr>
              <w:t xml:space="preserve">Major or elective courses </w:t>
            </w:r>
            <w:r w:rsidRPr="00855B2E">
              <w:rPr>
                <w:sz w:val="16"/>
              </w:rPr>
              <w:t>to reach 60 total credits</w:t>
            </w:r>
          </w:p>
        </w:tc>
        <w:tc>
          <w:tcPr>
            <w:tcW w:w="1057" w:type="dxa"/>
          </w:tcPr>
          <w:p w14:paraId="3730AF98" w14:textId="70458247" w:rsidR="00855B2E" w:rsidRDefault="00855B2E" w:rsidP="00855B2E">
            <w:r>
              <w:rPr>
                <w:sz w:val="16"/>
              </w:rPr>
              <w:t xml:space="preserve">Major or elective courses </w:t>
            </w:r>
            <w:r w:rsidRPr="00855B2E">
              <w:rPr>
                <w:sz w:val="16"/>
              </w:rPr>
              <w:t>to reach 60 total credits</w:t>
            </w:r>
          </w:p>
        </w:tc>
        <w:tc>
          <w:tcPr>
            <w:tcW w:w="1021" w:type="dxa"/>
          </w:tcPr>
          <w:p w14:paraId="61CD1CE7" w14:textId="35A3D827" w:rsidR="00855B2E" w:rsidRDefault="00855B2E" w:rsidP="00855B2E">
            <w:r>
              <w:rPr>
                <w:sz w:val="16"/>
              </w:rPr>
              <w:t xml:space="preserve">Major or elective courses </w:t>
            </w:r>
            <w:r w:rsidRPr="00855B2E">
              <w:rPr>
                <w:sz w:val="16"/>
              </w:rPr>
              <w:t>to reach 60 total credits</w:t>
            </w:r>
          </w:p>
        </w:tc>
        <w:tc>
          <w:tcPr>
            <w:tcW w:w="1086" w:type="dxa"/>
          </w:tcPr>
          <w:p w14:paraId="14DABD16" w14:textId="69A81B78" w:rsidR="00855B2E" w:rsidRDefault="00855B2E" w:rsidP="00855B2E">
            <w:r>
              <w:rPr>
                <w:sz w:val="16"/>
              </w:rPr>
              <w:t xml:space="preserve">Major or elective courses </w:t>
            </w:r>
            <w:r w:rsidRPr="00855B2E">
              <w:rPr>
                <w:sz w:val="16"/>
              </w:rPr>
              <w:t>to reach 60 total credits</w:t>
            </w:r>
          </w:p>
        </w:tc>
        <w:tc>
          <w:tcPr>
            <w:tcW w:w="1083" w:type="dxa"/>
          </w:tcPr>
          <w:p w14:paraId="2694AF70" w14:textId="7132B97C" w:rsidR="00855B2E" w:rsidRDefault="00855B2E" w:rsidP="00855B2E">
            <w:r>
              <w:rPr>
                <w:sz w:val="16"/>
              </w:rPr>
              <w:t xml:space="preserve">Major or elective courses </w:t>
            </w:r>
            <w:r w:rsidRPr="00855B2E">
              <w:rPr>
                <w:sz w:val="16"/>
              </w:rPr>
              <w:t>to reach 60 total credits</w:t>
            </w:r>
          </w:p>
        </w:tc>
      </w:tr>
      <w:tr w:rsidR="00793EC2" w14:paraId="4A303167" w14:textId="77777777" w:rsidTr="008365FA">
        <w:tc>
          <w:tcPr>
            <w:tcW w:w="1755" w:type="dxa"/>
          </w:tcPr>
          <w:p w14:paraId="6AB9FD9F" w14:textId="77777777" w:rsidR="00793EC2" w:rsidRPr="00855B2E" w:rsidRDefault="00793EC2" w:rsidP="008365FA">
            <w:pPr>
              <w:rPr>
                <w:b/>
                <w:sz w:val="20"/>
              </w:rPr>
            </w:pPr>
          </w:p>
        </w:tc>
        <w:tc>
          <w:tcPr>
            <w:tcW w:w="1087" w:type="dxa"/>
          </w:tcPr>
          <w:p w14:paraId="7C43B82A" w14:textId="77777777" w:rsidR="00793EC2" w:rsidRDefault="00793EC2" w:rsidP="008365FA">
            <w:pPr>
              <w:rPr>
                <w:sz w:val="16"/>
              </w:rPr>
            </w:pPr>
          </w:p>
        </w:tc>
        <w:tc>
          <w:tcPr>
            <w:tcW w:w="1223" w:type="dxa"/>
          </w:tcPr>
          <w:p w14:paraId="4CFD29AE" w14:textId="77777777" w:rsidR="00793EC2" w:rsidRDefault="00793EC2" w:rsidP="008365FA">
            <w:pPr>
              <w:rPr>
                <w:sz w:val="16"/>
              </w:rPr>
            </w:pPr>
          </w:p>
        </w:tc>
        <w:tc>
          <w:tcPr>
            <w:tcW w:w="1038" w:type="dxa"/>
          </w:tcPr>
          <w:p w14:paraId="2734CCF5" w14:textId="77777777" w:rsidR="00793EC2" w:rsidRDefault="00793EC2" w:rsidP="008365FA">
            <w:pPr>
              <w:rPr>
                <w:sz w:val="16"/>
              </w:rPr>
            </w:pPr>
          </w:p>
        </w:tc>
        <w:tc>
          <w:tcPr>
            <w:tcW w:w="1057" w:type="dxa"/>
          </w:tcPr>
          <w:p w14:paraId="2FA79731" w14:textId="77777777" w:rsidR="00793EC2" w:rsidRDefault="00793EC2" w:rsidP="008365FA">
            <w:pPr>
              <w:rPr>
                <w:sz w:val="16"/>
              </w:rPr>
            </w:pPr>
          </w:p>
        </w:tc>
        <w:tc>
          <w:tcPr>
            <w:tcW w:w="1021" w:type="dxa"/>
          </w:tcPr>
          <w:p w14:paraId="4B5FF184" w14:textId="77777777" w:rsidR="00793EC2" w:rsidRDefault="00793EC2" w:rsidP="008365FA">
            <w:pPr>
              <w:rPr>
                <w:sz w:val="16"/>
              </w:rPr>
            </w:pPr>
          </w:p>
        </w:tc>
        <w:tc>
          <w:tcPr>
            <w:tcW w:w="1086" w:type="dxa"/>
          </w:tcPr>
          <w:p w14:paraId="3AC13011" w14:textId="77777777" w:rsidR="00793EC2" w:rsidRDefault="00793EC2" w:rsidP="008365FA">
            <w:pPr>
              <w:rPr>
                <w:sz w:val="16"/>
              </w:rPr>
            </w:pPr>
          </w:p>
        </w:tc>
        <w:tc>
          <w:tcPr>
            <w:tcW w:w="1083" w:type="dxa"/>
          </w:tcPr>
          <w:p w14:paraId="205DD139" w14:textId="77777777" w:rsidR="00793EC2" w:rsidRDefault="00793EC2" w:rsidP="008365FA">
            <w:pPr>
              <w:rPr>
                <w:sz w:val="16"/>
              </w:rPr>
            </w:pPr>
          </w:p>
        </w:tc>
      </w:tr>
      <w:tr w:rsidR="00793EC2" w:rsidRPr="00793EC2" w14:paraId="51F557D0" w14:textId="77777777" w:rsidTr="00855B2E">
        <w:tc>
          <w:tcPr>
            <w:tcW w:w="1755" w:type="dxa"/>
          </w:tcPr>
          <w:p w14:paraId="6CE1100F" w14:textId="35E41103" w:rsidR="00793EC2" w:rsidRPr="00793EC2" w:rsidRDefault="00793EC2" w:rsidP="00793EC2">
            <w:pPr>
              <w:rPr>
                <w:b/>
                <w:sz w:val="20"/>
              </w:rPr>
            </w:pPr>
            <w:r w:rsidRPr="00793EC2">
              <w:rPr>
                <w:b/>
                <w:sz w:val="20"/>
              </w:rPr>
              <w:t>TOTAL CREDITS</w:t>
            </w:r>
          </w:p>
        </w:tc>
        <w:tc>
          <w:tcPr>
            <w:tcW w:w="1087" w:type="dxa"/>
          </w:tcPr>
          <w:p w14:paraId="1131FD86" w14:textId="32B325D1" w:rsidR="00793EC2" w:rsidRPr="00793EC2" w:rsidRDefault="00793EC2" w:rsidP="00793EC2">
            <w:pPr>
              <w:jc w:val="center"/>
              <w:rPr>
                <w:b/>
                <w:sz w:val="16"/>
              </w:rPr>
            </w:pPr>
            <w:r w:rsidRPr="00793EC2">
              <w:rPr>
                <w:b/>
              </w:rPr>
              <w:t>60</w:t>
            </w:r>
          </w:p>
        </w:tc>
        <w:tc>
          <w:tcPr>
            <w:tcW w:w="1223" w:type="dxa"/>
          </w:tcPr>
          <w:p w14:paraId="45D7AAB6" w14:textId="4F27EFF2" w:rsidR="00793EC2" w:rsidRPr="00793EC2" w:rsidRDefault="00793EC2" w:rsidP="00793EC2">
            <w:pPr>
              <w:rPr>
                <w:b/>
                <w:sz w:val="16"/>
              </w:rPr>
            </w:pPr>
            <w:r w:rsidRPr="00793EC2">
              <w:rPr>
                <w:b/>
              </w:rPr>
              <w:t>60</w:t>
            </w:r>
          </w:p>
        </w:tc>
        <w:tc>
          <w:tcPr>
            <w:tcW w:w="1038" w:type="dxa"/>
          </w:tcPr>
          <w:p w14:paraId="7DBCE852" w14:textId="4A2D0894" w:rsidR="00793EC2" w:rsidRPr="00793EC2" w:rsidRDefault="00793EC2" w:rsidP="00793EC2">
            <w:pPr>
              <w:rPr>
                <w:b/>
                <w:sz w:val="16"/>
              </w:rPr>
            </w:pPr>
            <w:r w:rsidRPr="00793EC2">
              <w:rPr>
                <w:b/>
              </w:rPr>
              <w:t>60</w:t>
            </w:r>
          </w:p>
        </w:tc>
        <w:tc>
          <w:tcPr>
            <w:tcW w:w="1057" w:type="dxa"/>
          </w:tcPr>
          <w:p w14:paraId="53299AAF" w14:textId="3CAF04A9" w:rsidR="00793EC2" w:rsidRPr="00793EC2" w:rsidRDefault="00793EC2" w:rsidP="00793EC2">
            <w:pPr>
              <w:rPr>
                <w:b/>
                <w:sz w:val="16"/>
              </w:rPr>
            </w:pPr>
            <w:r w:rsidRPr="00793EC2">
              <w:rPr>
                <w:b/>
              </w:rPr>
              <w:t>60</w:t>
            </w:r>
          </w:p>
        </w:tc>
        <w:tc>
          <w:tcPr>
            <w:tcW w:w="1021" w:type="dxa"/>
          </w:tcPr>
          <w:p w14:paraId="7E200004" w14:textId="21529AA4" w:rsidR="00793EC2" w:rsidRPr="00793EC2" w:rsidRDefault="00793EC2" w:rsidP="00793EC2">
            <w:pPr>
              <w:rPr>
                <w:b/>
                <w:sz w:val="16"/>
              </w:rPr>
            </w:pPr>
            <w:r w:rsidRPr="00793EC2">
              <w:rPr>
                <w:b/>
              </w:rPr>
              <w:t>60</w:t>
            </w:r>
          </w:p>
        </w:tc>
        <w:tc>
          <w:tcPr>
            <w:tcW w:w="1086" w:type="dxa"/>
          </w:tcPr>
          <w:p w14:paraId="2CAD8E7E" w14:textId="790357D9" w:rsidR="00793EC2" w:rsidRPr="00793EC2" w:rsidRDefault="00793EC2" w:rsidP="00793EC2">
            <w:pPr>
              <w:rPr>
                <w:b/>
                <w:sz w:val="16"/>
              </w:rPr>
            </w:pPr>
            <w:r w:rsidRPr="00793EC2">
              <w:rPr>
                <w:b/>
              </w:rPr>
              <w:t>60</w:t>
            </w:r>
          </w:p>
        </w:tc>
        <w:tc>
          <w:tcPr>
            <w:tcW w:w="1083" w:type="dxa"/>
          </w:tcPr>
          <w:p w14:paraId="19404720" w14:textId="104E0A9C" w:rsidR="00793EC2" w:rsidRPr="00793EC2" w:rsidRDefault="00793EC2" w:rsidP="00793EC2">
            <w:pPr>
              <w:rPr>
                <w:b/>
                <w:sz w:val="16"/>
              </w:rPr>
            </w:pPr>
            <w:r w:rsidRPr="00793EC2">
              <w:rPr>
                <w:b/>
              </w:rPr>
              <w:t>60</w:t>
            </w:r>
          </w:p>
        </w:tc>
      </w:tr>
    </w:tbl>
    <w:p w14:paraId="752CBD76" w14:textId="6E05134E" w:rsidR="00B85BBF" w:rsidRDefault="00B85BBF" w:rsidP="00B57B1F"/>
    <w:sectPr w:rsidR="00B85BBF" w:rsidSect="003F613B">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BE2AE" w14:textId="77777777" w:rsidR="00022DD0" w:rsidRDefault="00022DD0" w:rsidP="00EB0741">
      <w:r>
        <w:separator/>
      </w:r>
    </w:p>
  </w:endnote>
  <w:endnote w:type="continuationSeparator" w:id="0">
    <w:p w14:paraId="3FC239BE" w14:textId="77777777" w:rsidR="00022DD0" w:rsidRDefault="00022DD0" w:rsidP="00EB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Light">
    <w:panose1 w:val="02040302050405020303"/>
    <w:charset w:val="00"/>
    <w:family w:val="roman"/>
    <w:pitch w:val="variable"/>
    <w:sig w:usb0="A00002EF" w:usb1="4000685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C414" w14:textId="0A118C43" w:rsidR="00571786" w:rsidRDefault="00571786" w:rsidP="002D79DA">
    <w:pPr>
      <w:pStyle w:val="Footer"/>
      <w:pBdr>
        <w:bottom w:val="single" w:sz="12" w:space="1" w:color="auto"/>
      </w:pBdr>
      <w:jc w:val="right"/>
      <w:rPr>
        <w:rFonts w:ascii="Georgia Pro Light" w:hAnsi="Georgia Pro Light"/>
        <w:sz w:val="22"/>
        <w:szCs w:val="22"/>
      </w:rPr>
    </w:pPr>
    <w:r w:rsidRPr="002D79DA">
      <w:rPr>
        <w:rFonts w:ascii="Georgia Pro Light" w:hAnsi="Georgia Pro Light"/>
        <w:sz w:val="22"/>
        <w:szCs w:val="22"/>
      </w:rPr>
      <w:fldChar w:fldCharType="begin"/>
    </w:r>
    <w:r w:rsidRPr="002D79DA">
      <w:rPr>
        <w:rFonts w:ascii="Georgia Pro Light" w:hAnsi="Georgia Pro Light"/>
        <w:sz w:val="22"/>
        <w:szCs w:val="22"/>
      </w:rPr>
      <w:instrText xml:space="preserve"> PAGE   \* MERGEFORMAT </w:instrText>
    </w:r>
    <w:r w:rsidRPr="002D79DA">
      <w:rPr>
        <w:rFonts w:ascii="Georgia Pro Light" w:hAnsi="Georgia Pro Light"/>
        <w:sz w:val="22"/>
        <w:szCs w:val="22"/>
      </w:rPr>
      <w:fldChar w:fldCharType="separate"/>
    </w:r>
    <w:r w:rsidR="006244A4">
      <w:rPr>
        <w:rFonts w:ascii="Georgia Pro Light" w:hAnsi="Georgia Pro Light"/>
        <w:noProof/>
        <w:sz w:val="22"/>
        <w:szCs w:val="22"/>
      </w:rPr>
      <w:t>2</w:t>
    </w:r>
    <w:r w:rsidRPr="002D79DA">
      <w:rPr>
        <w:rFonts w:ascii="Georgia Pro Light" w:hAnsi="Georgia Pro Light"/>
        <w:noProof/>
        <w:sz w:val="22"/>
        <w:szCs w:val="22"/>
      </w:rPr>
      <w:fldChar w:fldCharType="end"/>
    </w:r>
  </w:p>
  <w:p w14:paraId="11F11952" w14:textId="1B3854EE" w:rsidR="00571786" w:rsidRPr="00EE3F31" w:rsidRDefault="00571786" w:rsidP="002D79DA">
    <w:pPr>
      <w:pStyle w:val="Footer"/>
      <w:jc w:val="center"/>
      <w:rPr>
        <w:rFonts w:ascii="Georgia Pro Light" w:hAnsi="Georgia Pro Light"/>
        <w:sz w:val="22"/>
        <w:szCs w:val="22"/>
      </w:rPr>
    </w:pPr>
    <w:r>
      <w:rPr>
        <w:rFonts w:ascii="Georgia Pro Light" w:hAnsi="Georgia Pro Light"/>
        <w:sz w:val="22"/>
        <w:szCs w:val="22"/>
      </w:rPr>
      <w:t xml:space="preserve">University Academic Affairs – University </w:t>
    </w:r>
    <w:r w:rsidR="003F613B">
      <w:rPr>
        <w:rFonts w:ascii="Georgia Pro Light" w:hAnsi="Georgia Pro Light"/>
        <w:sz w:val="22"/>
        <w:szCs w:val="22"/>
      </w:rPr>
      <w:t>Academic Policy</w:t>
    </w:r>
  </w:p>
  <w:p w14:paraId="69652166" w14:textId="0D982E05" w:rsidR="00571786" w:rsidRPr="00EE3F31" w:rsidRDefault="00D909C2" w:rsidP="002D79DA">
    <w:pPr>
      <w:pStyle w:val="Footer"/>
      <w:jc w:val="center"/>
      <w:rPr>
        <w:rFonts w:ascii="Georgia Pro Light" w:hAnsi="Georgia Pro Light"/>
        <w:sz w:val="22"/>
        <w:szCs w:val="22"/>
      </w:rPr>
    </w:pPr>
    <w:bookmarkStart w:id="1" w:name="OLE_LINK1"/>
    <w:r w:rsidRPr="00D909C2">
      <w:rPr>
        <w:rFonts w:ascii="Georgia Pro Light" w:hAnsi="Georgia Pro Light"/>
        <w:sz w:val="22"/>
        <w:szCs w:val="22"/>
      </w:rPr>
      <w:t>1050 Wishard Blvd.</w:t>
    </w:r>
    <w:r>
      <w:rPr>
        <w:rFonts w:ascii="Georgia Pro Light" w:hAnsi="Georgia Pro Light"/>
        <w:sz w:val="22"/>
        <w:szCs w:val="22"/>
      </w:rPr>
      <w:t>,</w:t>
    </w:r>
    <w:r w:rsidR="00F31540">
      <w:rPr>
        <w:rFonts w:ascii="Georgia Pro Light" w:hAnsi="Georgia Pro Light"/>
        <w:sz w:val="22"/>
        <w:szCs w:val="22"/>
      </w:rPr>
      <w:t xml:space="preserve"> Health Sciences (RG) B</w:t>
    </w:r>
    <w:r w:rsidRPr="00D909C2">
      <w:rPr>
        <w:rFonts w:ascii="Georgia Pro Light" w:hAnsi="Georgia Pro Light"/>
        <w:sz w:val="22"/>
        <w:szCs w:val="22"/>
      </w:rPr>
      <w:t>uilding</w:t>
    </w:r>
    <w:r w:rsidR="00F31540">
      <w:rPr>
        <w:rFonts w:ascii="Georgia Pro Light" w:hAnsi="Georgia Pro Light"/>
        <w:sz w:val="22"/>
        <w:szCs w:val="22"/>
      </w:rPr>
      <w:t>, Suite 4100</w:t>
    </w:r>
    <w:r w:rsidRPr="00D909C2">
      <w:rPr>
        <w:rFonts w:ascii="Georgia Pro Light" w:hAnsi="Georgia Pro Light"/>
        <w:sz w:val="22"/>
        <w:szCs w:val="22"/>
      </w:rPr>
      <w:t>, Indianapolis, IN 46202</w:t>
    </w:r>
  </w:p>
  <w:bookmarkEnd w:id="1"/>
  <w:p w14:paraId="67BF3240" w14:textId="62F7CADE" w:rsidR="00571786" w:rsidRPr="00095B21" w:rsidRDefault="00F31540" w:rsidP="002D79DA">
    <w:pPr>
      <w:pStyle w:val="Footer"/>
      <w:jc w:val="center"/>
      <w:rPr>
        <w:rFonts w:ascii="Georgia Pro Light" w:hAnsi="Georgia Pro Light"/>
        <w:color w:val="0563C1" w:themeColor="hyperlink"/>
        <w:sz w:val="22"/>
        <w:szCs w:val="22"/>
        <w:u w:val="single"/>
        <w:lang w:val="is-IS"/>
      </w:rPr>
    </w:pPr>
    <w:r>
      <w:rPr>
        <w:rFonts w:ascii="Georgia Pro Light" w:hAnsi="Georgia Pro Light"/>
        <w:sz w:val="22"/>
        <w:szCs w:val="22"/>
        <w:lang w:val="is-IS"/>
      </w:rPr>
      <w:t xml:space="preserve">(317) 274-8000 ● </w:t>
    </w:r>
    <w:hyperlink r:id="rId1" w:history="1">
      <w:r w:rsidRPr="00E678BA">
        <w:rPr>
          <w:rStyle w:val="Hyperlink"/>
          <w:rFonts w:ascii="Georgia Pro Light" w:hAnsi="Georgia Pro Light"/>
          <w:sz w:val="22"/>
          <w:szCs w:val="22"/>
          <w:lang w:val="is-IS"/>
        </w:rPr>
        <w:t>approval@iu.edu</w:t>
      </w:r>
    </w:hyperlink>
    <w:r>
      <w:rPr>
        <w:rFonts w:ascii="Georgia Pro Light" w:hAnsi="Georgia Pro Light"/>
        <w:sz w:val="22"/>
        <w:szCs w:val="22"/>
        <w:lang w:val="is-IS"/>
      </w:rPr>
      <w:t xml:space="preserve"> ● </w:t>
    </w:r>
    <w:hyperlink r:id="rId2" w:history="1">
      <w:r w:rsidRPr="00F31540">
        <w:rPr>
          <w:rStyle w:val="Hyperlink"/>
          <w:rFonts w:ascii="Georgia Pro Light" w:hAnsi="Georgia Pro Light"/>
          <w:sz w:val="22"/>
          <w:szCs w:val="22"/>
          <w:lang w:val="is-IS"/>
        </w:rPr>
        <w:t>uaa.iu.edu</w:t>
      </w:r>
    </w:hyperlink>
  </w:p>
  <w:p w14:paraId="2CF7A62E" w14:textId="77777777" w:rsidR="00571786" w:rsidRPr="002D79DA" w:rsidRDefault="00571786" w:rsidP="002D79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8785" w14:textId="77777777" w:rsidR="00022DD0" w:rsidRDefault="00022DD0" w:rsidP="00EB0741">
      <w:r>
        <w:separator/>
      </w:r>
    </w:p>
  </w:footnote>
  <w:footnote w:type="continuationSeparator" w:id="0">
    <w:p w14:paraId="3618F28C" w14:textId="77777777" w:rsidR="00022DD0" w:rsidRDefault="00022DD0" w:rsidP="00EB07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42ACC" w14:textId="77777777" w:rsidR="003F613B" w:rsidRDefault="003F613B" w:rsidP="003F613B">
    <w:pPr>
      <w:pStyle w:val="Footer"/>
      <w:jc w:val="center"/>
    </w:pPr>
    <w:r>
      <w:rPr>
        <w:noProof/>
      </w:rPr>
      <w:drawing>
        <wp:inline distT="0" distB="0" distL="0" distR="0" wp14:anchorId="4E6DF1D9" wp14:editId="6AE3E9CC">
          <wp:extent cx="493522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9752"/>
                  <a:stretch/>
                </pic:blipFill>
                <pic:spPr bwMode="auto">
                  <a:xfrm>
                    <a:off x="0" y="0"/>
                    <a:ext cx="4935537" cy="838254"/>
                  </a:xfrm>
                  <a:prstGeom prst="rect">
                    <a:avLst/>
                  </a:prstGeom>
                  <a:noFill/>
                  <a:ln>
                    <a:noFill/>
                  </a:ln>
                  <a:extLst>
                    <a:ext uri="{53640926-AAD7-44D8-BBD7-CCE9431645EC}">
                      <a14:shadowObscured xmlns:a14="http://schemas.microsoft.com/office/drawing/2010/main"/>
                    </a:ext>
                  </a:extLst>
                </pic:spPr>
              </pic:pic>
            </a:graphicData>
          </a:graphic>
        </wp:inline>
      </w:drawing>
    </w:r>
  </w:p>
  <w:p w14:paraId="55BF201B" w14:textId="77777777" w:rsidR="003F613B" w:rsidRDefault="003F61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B0C"/>
    <w:multiLevelType w:val="hybridMultilevel"/>
    <w:tmpl w:val="AED0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495"/>
    <w:multiLevelType w:val="hybridMultilevel"/>
    <w:tmpl w:val="F33CDB32"/>
    <w:lvl w:ilvl="0" w:tplc="C7522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0C1"/>
    <w:multiLevelType w:val="hybridMultilevel"/>
    <w:tmpl w:val="7234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8690F"/>
    <w:multiLevelType w:val="hybridMultilevel"/>
    <w:tmpl w:val="5DC8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0D7D"/>
    <w:multiLevelType w:val="hybridMultilevel"/>
    <w:tmpl w:val="1ABAC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B4072"/>
    <w:multiLevelType w:val="hybridMultilevel"/>
    <w:tmpl w:val="C762AC4C"/>
    <w:lvl w:ilvl="0" w:tplc="F5DA4C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009C9"/>
    <w:multiLevelType w:val="hybridMultilevel"/>
    <w:tmpl w:val="2E6EA824"/>
    <w:lvl w:ilvl="0" w:tplc="C38432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7209C"/>
    <w:multiLevelType w:val="hybridMultilevel"/>
    <w:tmpl w:val="31DC1114"/>
    <w:lvl w:ilvl="0" w:tplc="DC74E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A22C4"/>
    <w:multiLevelType w:val="hybridMultilevel"/>
    <w:tmpl w:val="E3D26B86"/>
    <w:lvl w:ilvl="0" w:tplc="A16649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66F70"/>
    <w:multiLevelType w:val="hybridMultilevel"/>
    <w:tmpl w:val="B9E8AF10"/>
    <w:lvl w:ilvl="0" w:tplc="FE26A8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910ACF"/>
    <w:multiLevelType w:val="hybridMultilevel"/>
    <w:tmpl w:val="9DECD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959A8"/>
    <w:multiLevelType w:val="hybridMultilevel"/>
    <w:tmpl w:val="AB74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16D1D"/>
    <w:multiLevelType w:val="hybridMultilevel"/>
    <w:tmpl w:val="E4764566"/>
    <w:lvl w:ilvl="0" w:tplc="08D4EE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94659"/>
    <w:multiLevelType w:val="hybridMultilevel"/>
    <w:tmpl w:val="51F0E598"/>
    <w:lvl w:ilvl="0" w:tplc="83A254C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53351"/>
    <w:multiLevelType w:val="hybridMultilevel"/>
    <w:tmpl w:val="71925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15030"/>
    <w:multiLevelType w:val="hybridMultilevel"/>
    <w:tmpl w:val="0338BCB2"/>
    <w:lvl w:ilvl="0" w:tplc="A166490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1F4CE9"/>
    <w:multiLevelType w:val="hybridMultilevel"/>
    <w:tmpl w:val="54B0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5232B"/>
    <w:multiLevelType w:val="hybridMultilevel"/>
    <w:tmpl w:val="826286B8"/>
    <w:lvl w:ilvl="0" w:tplc="BE960562">
      <w:start w:val="1"/>
      <w:numFmt w:val="decimal"/>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D878EF"/>
    <w:multiLevelType w:val="hybridMultilevel"/>
    <w:tmpl w:val="8F9E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953FF3"/>
    <w:multiLevelType w:val="hybridMultilevel"/>
    <w:tmpl w:val="DB34E23E"/>
    <w:lvl w:ilvl="0" w:tplc="C38432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007F3"/>
    <w:multiLevelType w:val="hybridMultilevel"/>
    <w:tmpl w:val="2EC22C80"/>
    <w:lvl w:ilvl="0" w:tplc="04090019">
      <w:start w:val="1"/>
      <w:numFmt w:val="lowerLetter"/>
      <w:lvlText w:val="%1."/>
      <w:lvlJc w:val="left"/>
      <w:pPr>
        <w:ind w:left="1440" w:hanging="360"/>
      </w:pPr>
    </w:lvl>
    <w:lvl w:ilvl="1" w:tplc="1A26A652">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9C5EC5"/>
    <w:multiLevelType w:val="hybridMultilevel"/>
    <w:tmpl w:val="EEE6B2E0"/>
    <w:lvl w:ilvl="0" w:tplc="C38432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96C13"/>
    <w:multiLevelType w:val="hybridMultilevel"/>
    <w:tmpl w:val="ADBA5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D78E3"/>
    <w:multiLevelType w:val="hybridMultilevel"/>
    <w:tmpl w:val="3902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15"/>
  </w:num>
  <w:num w:numId="5">
    <w:abstractNumId w:val="4"/>
  </w:num>
  <w:num w:numId="6">
    <w:abstractNumId w:val="16"/>
  </w:num>
  <w:num w:numId="7">
    <w:abstractNumId w:val="14"/>
  </w:num>
  <w:num w:numId="8">
    <w:abstractNumId w:val="12"/>
  </w:num>
  <w:num w:numId="9">
    <w:abstractNumId w:val="19"/>
  </w:num>
  <w:num w:numId="10">
    <w:abstractNumId w:val="21"/>
  </w:num>
  <w:num w:numId="11">
    <w:abstractNumId w:val="6"/>
  </w:num>
  <w:num w:numId="12">
    <w:abstractNumId w:val="13"/>
  </w:num>
  <w:num w:numId="13">
    <w:abstractNumId w:val="18"/>
  </w:num>
  <w:num w:numId="14">
    <w:abstractNumId w:val="23"/>
  </w:num>
  <w:num w:numId="15">
    <w:abstractNumId w:val="0"/>
  </w:num>
  <w:num w:numId="16">
    <w:abstractNumId w:val="22"/>
  </w:num>
  <w:num w:numId="17">
    <w:abstractNumId w:val="3"/>
  </w:num>
  <w:num w:numId="18">
    <w:abstractNumId w:val="10"/>
  </w:num>
  <w:num w:numId="19">
    <w:abstractNumId w:val="1"/>
  </w:num>
  <w:num w:numId="20">
    <w:abstractNumId w:val="2"/>
  </w:num>
  <w:num w:numId="21">
    <w:abstractNumId w:val="11"/>
  </w:num>
  <w:num w:numId="22">
    <w:abstractNumId w:val="7"/>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F1"/>
    <w:rsid w:val="00013586"/>
    <w:rsid w:val="00022DD0"/>
    <w:rsid w:val="000308F1"/>
    <w:rsid w:val="000357EE"/>
    <w:rsid w:val="00040C75"/>
    <w:rsid w:val="00041FBF"/>
    <w:rsid w:val="000547E3"/>
    <w:rsid w:val="00055F92"/>
    <w:rsid w:val="00056401"/>
    <w:rsid w:val="00067044"/>
    <w:rsid w:val="0009296E"/>
    <w:rsid w:val="00095B21"/>
    <w:rsid w:val="00096E87"/>
    <w:rsid w:val="000D7210"/>
    <w:rsid w:val="000D7225"/>
    <w:rsid w:val="000E1901"/>
    <w:rsid w:val="000E3F71"/>
    <w:rsid w:val="000E4217"/>
    <w:rsid w:val="000F6955"/>
    <w:rsid w:val="001011E3"/>
    <w:rsid w:val="00120460"/>
    <w:rsid w:val="00123F3E"/>
    <w:rsid w:val="00127003"/>
    <w:rsid w:val="001460C9"/>
    <w:rsid w:val="00146F73"/>
    <w:rsid w:val="00176105"/>
    <w:rsid w:val="00185084"/>
    <w:rsid w:val="001A1124"/>
    <w:rsid w:val="001A4187"/>
    <w:rsid w:val="001B137E"/>
    <w:rsid w:val="001C0615"/>
    <w:rsid w:val="001C12F6"/>
    <w:rsid w:val="001E10FF"/>
    <w:rsid w:val="002050A7"/>
    <w:rsid w:val="002274F4"/>
    <w:rsid w:val="0024480D"/>
    <w:rsid w:val="0026302B"/>
    <w:rsid w:val="002C720F"/>
    <w:rsid w:val="002D3853"/>
    <w:rsid w:val="002D4BA6"/>
    <w:rsid w:val="002D79DA"/>
    <w:rsid w:val="00303EF4"/>
    <w:rsid w:val="003057F7"/>
    <w:rsid w:val="00305A8E"/>
    <w:rsid w:val="00332AF5"/>
    <w:rsid w:val="00333B51"/>
    <w:rsid w:val="003355EC"/>
    <w:rsid w:val="00365961"/>
    <w:rsid w:val="0038483F"/>
    <w:rsid w:val="0038694B"/>
    <w:rsid w:val="003B40C7"/>
    <w:rsid w:val="003B6F98"/>
    <w:rsid w:val="003B7DC3"/>
    <w:rsid w:val="003E1304"/>
    <w:rsid w:val="003F613B"/>
    <w:rsid w:val="004126B7"/>
    <w:rsid w:val="00426B0F"/>
    <w:rsid w:val="00435E0F"/>
    <w:rsid w:val="004430A5"/>
    <w:rsid w:val="00444EDE"/>
    <w:rsid w:val="00447B03"/>
    <w:rsid w:val="00466B0E"/>
    <w:rsid w:val="0048569A"/>
    <w:rsid w:val="00495C95"/>
    <w:rsid w:val="00497CD1"/>
    <w:rsid w:val="004D2AA3"/>
    <w:rsid w:val="004F1606"/>
    <w:rsid w:val="00500BDB"/>
    <w:rsid w:val="00501D17"/>
    <w:rsid w:val="0050289A"/>
    <w:rsid w:val="005048AF"/>
    <w:rsid w:val="00512549"/>
    <w:rsid w:val="00522074"/>
    <w:rsid w:val="00522357"/>
    <w:rsid w:val="005431AA"/>
    <w:rsid w:val="00571786"/>
    <w:rsid w:val="005769E6"/>
    <w:rsid w:val="00593CF1"/>
    <w:rsid w:val="00593F11"/>
    <w:rsid w:val="005B071D"/>
    <w:rsid w:val="005B3990"/>
    <w:rsid w:val="005C6148"/>
    <w:rsid w:val="005D276D"/>
    <w:rsid w:val="005D57BF"/>
    <w:rsid w:val="005D6479"/>
    <w:rsid w:val="006244A4"/>
    <w:rsid w:val="006434D7"/>
    <w:rsid w:val="0064762F"/>
    <w:rsid w:val="00665473"/>
    <w:rsid w:val="0067014D"/>
    <w:rsid w:val="00673936"/>
    <w:rsid w:val="006746D5"/>
    <w:rsid w:val="00693627"/>
    <w:rsid w:val="006A772A"/>
    <w:rsid w:val="006B56A8"/>
    <w:rsid w:val="006D79B0"/>
    <w:rsid w:val="0074733A"/>
    <w:rsid w:val="00760E56"/>
    <w:rsid w:val="00766965"/>
    <w:rsid w:val="00766EC9"/>
    <w:rsid w:val="007906CF"/>
    <w:rsid w:val="00793EC2"/>
    <w:rsid w:val="0079649A"/>
    <w:rsid w:val="007B4EE3"/>
    <w:rsid w:val="007D40DE"/>
    <w:rsid w:val="007F7585"/>
    <w:rsid w:val="0080314F"/>
    <w:rsid w:val="00810F27"/>
    <w:rsid w:val="008122B0"/>
    <w:rsid w:val="008135D9"/>
    <w:rsid w:val="00825F1C"/>
    <w:rsid w:val="008305F5"/>
    <w:rsid w:val="00830F49"/>
    <w:rsid w:val="00833256"/>
    <w:rsid w:val="00855B2E"/>
    <w:rsid w:val="00885E33"/>
    <w:rsid w:val="008A1FBE"/>
    <w:rsid w:val="008A34A7"/>
    <w:rsid w:val="008B61A8"/>
    <w:rsid w:val="008C6EA9"/>
    <w:rsid w:val="008E2EF1"/>
    <w:rsid w:val="00901A51"/>
    <w:rsid w:val="00910B4E"/>
    <w:rsid w:val="0091529F"/>
    <w:rsid w:val="009446DA"/>
    <w:rsid w:val="009515CB"/>
    <w:rsid w:val="00953591"/>
    <w:rsid w:val="009825D0"/>
    <w:rsid w:val="009B33B8"/>
    <w:rsid w:val="009E1285"/>
    <w:rsid w:val="009E708E"/>
    <w:rsid w:val="009F6897"/>
    <w:rsid w:val="00A36C6C"/>
    <w:rsid w:val="00A42C49"/>
    <w:rsid w:val="00A52FD5"/>
    <w:rsid w:val="00A5540E"/>
    <w:rsid w:val="00A67A5F"/>
    <w:rsid w:val="00AA2F39"/>
    <w:rsid w:val="00AB2DE4"/>
    <w:rsid w:val="00AC303C"/>
    <w:rsid w:val="00AF7823"/>
    <w:rsid w:val="00B57B1F"/>
    <w:rsid w:val="00B85BBF"/>
    <w:rsid w:val="00BA474C"/>
    <w:rsid w:val="00BA6951"/>
    <w:rsid w:val="00BD100D"/>
    <w:rsid w:val="00BE1D17"/>
    <w:rsid w:val="00C20124"/>
    <w:rsid w:val="00C24B74"/>
    <w:rsid w:val="00C3229B"/>
    <w:rsid w:val="00C9367D"/>
    <w:rsid w:val="00CA6B17"/>
    <w:rsid w:val="00CB76F2"/>
    <w:rsid w:val="00D202E5"/>
    <w:rsid w:val="00D46F56"/>
    <w:rsid w:val="00D51564"/>
    <w:rsid w:val="00D72EAA"/>
    <w:rsid w:val="00D77F93"/>
    <w:rsid w:val="00D876E6"/>
    <w:rsid w:val="00D909C2"/>
    <w:rsid w:val="00DC24E8"/>
    <w:rsid w:val="00DC4A4A"/>
    <w:rsid w:val="00DE2C8F"/>
    <w:rsid w:val="00DF1BE5"/>
    <w:rsid w:val="00DF2357"/>
    <w:rsid w:val="00DF6563"/>
    <w:rsid w:val="00E042AF"/>
    <w:rsid w:val="00E0573A"/>
    <w:rsid w:val="00E44386"/>
    <w:rsid w:val="00E5280D"/>
    <w:rsid w:val="00E81F91"/>
    <w:rsid w:val="00E82271"/>
    <w:rsid w:val="00E87C74"/>
    <w:rsid w:val="00E90700"/>
    <w:rsid w:val="00EA3243"/>
    <w:rsid w:val="00EA454C"/>
    <w:rsid w:val="00EB0741"/>
    <w:rsid w:val="00EC1C89"/>
    <w:rsid w:val="00EC3AF2"/>
    <w:rsid w:val="00EC5440"/>
    <w:rsid w:val="00EE5B51"/>
    <w:rsid w:val="00EF29CF"/>
    <w:rsid w:val="00F06F81"/>
    <w:rsid w:val="00F31540"/>
    <w:rsid w:val="00F37316"/>
    <w:rsid w:val="00F40026"/>
    <w:rsid w:val="00F43CA5"/>
    <w:rsid w:val="00F477D0"/>
    <w:rsid w:val="00F54A82"/>
    <w:rsid w:val="00F77954"/>
    <w:rsid w:val="00F8277C"/>
    <w:rsid w:val="00FA5636"/>
    <w:rsid w:val="00FC4DAA"/>
    <w:rsid w:val="00FD0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4183E"/>
  <w15:chartTrackingRefBased/>
  <w15:docId w15:val="{44E0B140-691D-400D-9167-621BB3FE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6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2C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741"/>
    <w:pPr>
      <w:tabs>
        <w:tab w:val="center" w:pos="4680"/>
        <w:tab w:val="right" w:pos="9360"/>
      </w:tabs>
    </w:pPr>
  </w:style>
  <w:style w:type="character" w:customStyle="1" w:styleId="HeaderChar">
    <w:name w:val="Header Char"/>
    <w:basedOn w:val="DefaultParagraphFont"/>
    <w:link w:val="Header"/>
    <w:uiPriority w:val="99"/>
    <w:rsid w:val="00EB0741"/>
  </w:style>
  <w:style w:type="paragraph" w:styleId="Footer">
    <w:name w:val="footer"/>
    <w:basedOn w:val="Normal"/>
    <w:link w:val="FooterChar"/>
    <w:uiPriority w:val="99"/>
    <w:unhideWhenUsed/>
    <w:rsid w:val="00EB0741"/>
    <w:pPr>
      <w:tabs>
        <w:tab w:val="center" w:pos="4680"/>
        <w:tab w:val="right" w:pos="9360"/>
      </w:tabs>
    </w:pPr>
  </w:style>
  <w:style w:type="character" w:customStyle="1" w:styleId="FooterChar">
    <w:name w:val="Footer Char"/>
    <w:basedOn w:val="DefaultParagraphFont"/>
    <w:link w:val="Footer"/>
    <w:uiPriority w:val="99"/>
    <w:rsid w:val="00EB0741"/>
  </w:style>
  <w:style w:type="character" w:styleId="Hyperlink">
    <w:name w:val="Hyperlink"/>
    <w:basedOn w:val="DefaultParagraphFont"/>
    <w:uiPriority w:val="99"/>
    <w:unhideWhenUsed/>
    <w:rsid w:val="0026302B"/>
    <w:rPr>
      <w:color w:val="0563C1" w:themeColor="hyperlink"/>
      <w:u w:val="single"/>
    </w:rPr>
  </w:style>
  <w:style w:type="paragraph" w:styleId="ListParagraph">
    <w:name w:val="List Paragraph"/>
    <w:basedOn w:val="Normal"/>
    <w:uiPriority w:val="34"/>
    <w:qFormat/>
    <w:rsid w:val="00FA5636"/>
    <w:pPr>
      <w:ind w:left="720"/>
      <w:contextualSpacing/>
    </w:pPr>
  </w:style>
  <w:style w:type="paragraph" w:styleId="EndnoteText">
    <w:name w:val="endnote text"/>
    <w:basedOn w:val="Normal"/>
    <w:link w:val="EndnoteTextChar"/>
    <w:uiPriority w:val="99"/>
    <w:semiHidden/>
    <w:unhideWhenUsed/>
    <w:rsid w:val="008E2EF1"/>
    <w:rPr>
      <w:sz w:val="20"/>
      <w:szCs w:val="20"/>
    </w:rPr>
  </w:style>
  <w:style w:type="character" w:customStyle="1" w:styleId="EndnoteTextChar">
    <w:name w:val="Endnote Text Char"/>
    <w:basedOn w:val="DefaultParagraphFont"/>
    <w:link w:val="EndnoteText"/>
    <w:uiPriority w:val="99"/>
    <w:semiHidden/>
    <w:rsid w:val="008E2EF1"/>
    <w:rPr>
      <w:sz w:val="20"/>
      <w:szCs w:val="20"/>
    </w:rPr>
  </w:style>
  <w:style w:type="character" w:styleId="EndnoteReference">
    <w:name w:val="endnote reference"/>
    <w:basedOn w:val="DefaultParagraphFont"/>
    <w:uiPriority w:val="99"/>
    <w:semiHidden/>
    <w:unhideWhenUsed/>
    <w:rsid w:val="008E2EF1"/>
    <w:rPr>
      <w:vertAlign w:val="superscript"/>
    </w:rPr>
  </w:style>
  <w:style w:type="paragraph" w:styleId="NoSpacing">
    <w:name w:val="No Spacing"/>
    <w:link w:val="NoSpacingChar"/>
    <w:uiPriority w:val="1"/>
    <w:qFormat/>
    <w:rsid w:val="00FC4DAA"/>
    <w:rPr>
      <w:rFonts w:eastAsiaTheme="minorEastAsia"/>
      <w:sz w:val="22"/>
      <w:szCs w:val="22"/>
    </w:rPr>
  </w:style>
  <w:style w:type="character" w:customStyle="1" w:styleId="NoSpacingChar">
    <w:name w:val="No Spacing Char"/>
    <w:basedOn w:val="DefaultParagraphFont"/>
    <w:link w:val="NoSpacing"/>
    <w:uiPriority w:val="1"/>
    <w:rsid w:val="00FC4DAA"/>
    <w:rPr>
      <w:rFonts w:eastAsiaTheme="minorEastAsia"/>
      <w:sz w:val="22"/>
      <w:szCs w:val="22"/>
    </w:rPr>
  </w:style>
  <w:style w:type="paragraph" w:styleId="BalloonText">
    <w:name w:val="Balloon Text"/>
    <w:basedOn w:val="Normal"/>
    <w:link w:val="BalloonTextChar"/>
    <w:uiPriority w:val="99"/>
    <w:semiHidden/>
    <w:unhideWhenUsed/>
    <w:rsid w:val="00EA3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243"/>
    <w:rPr>
      <w:rFonts w:ascii="Segoe UI" w:hAnsi="Segoe UI" w:cs="Segoe UI"/>
      <w:sz w:val="18"/>
      <w:szCs w:val="18"/>
    </w:rPr>
  </w:style>
  <w:style w:type="character" w:customStyle="1" w:styleId="Heading1Char">
    <w:name w:val="Heading 1 Char"/>
    <w:basedOn w:val="DefaultParagraphFont"/>
    <w:link w:val="Heading1"/>
    <w:uiPriority w:val="9"/>
    <w:rsid w:val="0048569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8569A"/>
    <w:pPr>
      <w:spacing w:line="259" w:lineRule="auto"/>
      <w:outlineLvl w:val="9"/>
    </w:pPr>
  </w:style>
  <w:style w:type="paragraph" w:styleId="TOC1">
    <w:name w:val="toc 1"/>
    <w:basedOn w:val="Normal"/>
    <w:next w:val="Normal"/>
    <w:autoRedefine/>
    <w:uiPriority w:val="39"/>
    <w:unhideWhenUsed/>
    <w:rsid w:val="0048569A"/>
    <w:pPr>
      <w:spacing w:after="100"/>
    </w:pPr>
  </w:style>
  <w:style w:type="paragraph" w:styleId="NormalWeb">
    <w:name w:val="Normal (Web)"/>
    <w:basedOn w:val="Normal"/>
    <w:uiPriority w:val="99"/>
    <w:unhideWhenUsed/>
    <w:rsid w:val="007B4EE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830F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454C"/>
    <w:rPr>
      <w:color w:val="954F72" w:themeColor="followedHyperlink"/>
      <w:u w:val="single"/>
    </w:rPr>
  </w:style>
  <w:style w:type="paragraph" w:styleId="FootnoteText">
    <w:name w:val="footnote text"/>
    <w:basedOn w:val="Normal"/>
    <w:link w:val="FootnoteTextChar"/>
    <w:uiPriority w:val="99"/>
    <w:semiHidden/>
    <w:unhideWhenUsed/>
    <w:rsid w:val="006A772A"/>
    <w:rPr>
      <w:sz w:val="20"/>
      <w:szCs w:val="20"/>
    </w:rPr>
  </w:style>
  <w:style w:type="character" w:customStyle="1" w:styleId="FootnoteTextChar">
    <w:name w:val="Footnote Text Char"/>
    <w:basedOn w:val="DefaultParagraphFont"/>
    <w:link w:val="FootnoteText"/>
    <w:uiPriority w:val="99"/>
    <w:semiHidden/>
    <w:rsid w:val="006A772A"/>
    <w:rPr>
      <w:sz w:val="20"/>
      <w:szCs w:val="20"/>
    </w:rPr>
  </w:style>
  <w:style w:type="character" w:customStyle="1" w:styleId="Heading2Char">
    <w:name w:val="Heading 2 Char"/>
    <w:basedOn w:val="DefaultParagraphFont"/>
    <w:link w:val="Heading2"/>
    <w:uiPriority w:val="9"/>
    <w:semiHidden/>
    <w:rsid w:val="00DE2C8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53591"/>
    <w:rPr>
      <w:sz w:val="16"/>
      <w:szCs w:val="16"/>
    </w:rPr>
  </w:style>
  <w:style w:type="paragraph" w:styleId="CommentText">
    <w:name w:val="annotation text"/>
    <w:basedOn w:val="Normal"/>
    <w:link w:val="CommentTextChar"/>
    <w:uiPriority w:val="99"/>
    <w:semiHidden/>
    <w:unhideWhenUsed/>
    <w:rsid w:val="00953591"/>
    <w:rPr>
      <w:sz w:val="20"/>
      <w:szCs w:val="20"/>
    </w:rPr>
  </w:style>
  <w:style w:type="character" w:customStyle="1" w:styleId="CommentTextChar">
    <w:name w:val="Comment Text Char"/>
    <w:basedOn w:val="DefaultParagraphFont"/>
    <w:link w:val="CommentText"/>
    <w:uiPriority w:val="99"/>
    <w:semiHidden/>
    <w:rsid w:val="00953591"/>
    <w:rPr>
      <w:sz w:val="20"/>
      <w:szCs w:val="20"/>
    </w:rPr>
  </w:style>
  <w:style w:type="paragraph" w:styleId="CommentSubject">
    <w:name w:val="annotation subject"/>
    <w:basedOn w:val="CommentText"/>
    <w:next w:val="CommentText"/>
    <w:link w:val="CommentSubjectChar"/>
    <w:uiPriority w:val="99"/>
    <w:semiHidden/>
    <w:unhideWhenUsed/>
    <w:rsid w:val="00953591"/>
    <w:rPr>
      <w:b/>
      <w:bCs/>
    </w:rPr>
  </w:style>
  <w:style w:type="character" w:customStyle="1" w:styleId="CommentSubjectChar">
    <w:name w:val="Comment Subject Char"/>
    <w:basedOn w:val="CommentTextChar"/>
    <w:link w:val="CommentSubject"/>
    <w:uiPriority w:val="99"/>
    <w:semiHidden/>
    <w:rsid w:val="00953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4257">
      <w:bodyDiv w:val="1"/>
      <w:marLeft w:val="0"/>
      <w:marRight w:val="0"/>
      <w:marTop w:val="0"/>
      <w:marBottom w:val="0"/>
      <w:divBdr>
        <w:top w:val="none" w:sz="0" w:space="0" w:color="auto"/>
        <w:left w:val="none" w:sz="0" w:space="0" w:color="auto"/>
        <w:bottom w:val="none" w:sz="0" w:space="0" w:color="auto"/>
        <w:right w:val="none" w:sz="0" w:space="0" w:color="auto"/>
      </w:divBdr>
      <w:divsChild>
        <w:div w:id="733310506">
          <w:marLeft w:val="0"/>
          <w:marRight w:val="0"/>
          <w:marTop w:val="0"/>
          <w:marBottom w:val="0"/>
          <w:divBdr>
            <w:top w:val="none" w:sz="0" w:space="0" w:color="auto"/>
            <w:left w:val="none" w:sz="0" w:space="0" w:color="auto"/>
            <w:bottom w:val="none" w:sz="0" w:space="0" w:color="auto"/>
            <w:right w:val="none" w:sz="0" w:space="0" w:color="auto"/>
          </w:divBdr>
          <w:divsChild>
            <w:div w:id="13422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9697">
      <w:bodyDiv w:val="1"/>
      <w:marLeft w:val="0"/>
      <w:marRight w:val="0"/>
      <w:marTop w:val="0"/>
      <w:marBottom w:val="0"/>
      <w:divBdr>
        <w:top w:val="none" w:sz="0" w:space="0" w:color="auto"/>
        <w:left w:val="none" w:sz="0" w:space="0" w:color="auto"/>
        <w:bottom w:val="none" w:sz="0" w:space="0" w:color="auto"/>
        <w:right w:val="none" w:sz="0" w:space="0" w:color="auto"/>
      </w:divBdr>
      <w:divsChild>
        <w:div w:id="1660452276">
          <w:marLeft w:val="0"/>
          <w:marRight w:val="0"/>
          <w:marTop w:val="0"/>
          <w:marBottom w:val="0"/>
          <w:divBdr>
            <w:top w:val="none" w:sz="0" w:space="0" w:color="auto"/>
            <w:left w:val="none" w:sz="0" w:space="0" w:color="auto"/>
            <w:bottom w:val="none" w:sz="0" w:space="0" w:color="auto"/>
            <w:right w:val="none" w:sz="0" w:space="0" w:color="auto"/>
          </w:divBdr>
        </w:div>
      </w:divsChild>
    </w:div>
    <w:div w:id="768279304">
      <w:bodyDiv w:val="1"/>
      <w:marLeft w:val="0"/>
      <w:marRight w:val="0"/>
      <w:marTop w:val="0"/>
      <w:marBottom w:val="0"/>
      <w:divBdr>
        <w:top w:val="none" w:sz="0" w:space="0" w:color="auto"/>
        <w:left w:val="none" w:sz="0" w:space="0" w:color="auto"/>
        <w:bottom w:val="none" w:sz="0" w:space="0" w:color="auto"/>
        <w:right w:val="none" w:sz="0" w:space="0" w:color="auto"/>
      </w:divBdr>
      <w:divsChild>
        <w:div w:id="1759713280">
          <w:marLeft w:val="0"/>
          <w:marRight w:val="0"/>
          <w:marTop w:val="0"/>
          <w:marBottom w:val="0"/>
          <w:divBdr>
            <w:top w:val="none" w:sz="0" w:space="0" w:color="auto"/>
            <w:left w:val="none" w:sz="0" w:space="0" w:color="auto"/>
            <w:bottom w:val="none" w:sz="0" w:space="0" w:color="auto"/>
            <w:right w:val="none" w:sz="0" w:space="0" w:color="auto"/>
          </w:divBdr>
          <w:divsChild>
            <w:div w:id="1093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940">
      <w:bodyDiv w:val="1"/>
      <w:marLeft w:val="0"/>
      <w:marRight w:val="0"/>
      <w:marTop w:val="0"/>
      <w:marBottom w:val="0"/>
      <w:divBdr>
        <w:top w:val="none" w:sz="0" w:space="0" w:color="auto"/>
        <w:left w:val="none" w:sz="0" w:space="0" w:color="auto"/>
        <w:bottom w:val="none" w:sz="0" w:space="0" w:color="auto"/>
        <w:right w:val="none" w:sz="0" w:space="0" w:color="auto"/>
      </w:divBdr>
    </w:div>
    <w:div w:id="1898398757">
      <w:bodyDiv w:val="1"/>
      <w:marLeft w:val="0"/>
      <w:marRight w:val="0"/>
      <w:marTop w:val="0"/>
      <w:marBottom w:val="0"/>
      <w:divBdr>
        <w:top w:val="none" w:sz="0" w:space="0" w:color="auto"/>
        <w:left w:val="none" w:sz="0" w:space="0" w:color="auto"/>
        <w:bottom w:val="none" w:sz="0" w:space="0" w:color="auto"/>
        <w:right w:val="none" w:sz="0" w:space="0" w:color="auto"/>
      </w:divBdr>
    </w:div>
    <w:div w:id="1948005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a.in.gov/legislative/laws/2019/ic/titles/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uaa.iu.edu/index.html" TargetMode="External"/><Relationship Id="rId1" Type="http://schemas.openxmlformats.org/officeDocument/2006/relationships/hyperlink" Target="mailto:approval@i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E65E-8B7B-4EC4-8D0B-4F17957C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1666</Words>
  <Characters>9500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Candice L</cp:lastModifiedBy>
  <cp:revision>2</cp:revision>
  <cp:lastPrinted>2019-08-22T20:31:00Z</cp:lastPrinted>
  <dcterms:created xsi:type="dcterms:W3CDTF">2019-09-13T15:08:00Z</dcterms:created>
  <dcterms:modified xsi:type="dcterms:W3CDTF">2019-09-13T15:08:00Z</dcterms:modified>
</cp:coreProperties>
</file>